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E4018" w14:textId="77777777" w:rsidR="00E04658" w:rsidRDefault="00E04658" w:rsidP="00E04658">
      <w:pPr>
        <w:ind w:left="284"/>
        <w:rPr>
          <w:rFonts w:ascii="Calibri Light" w:hAnsi="Calibri Light" w:cs="Calibri Light"/>
          <w:szCs w:val="18"/>
          <w:lang w:val="de-DE"/>
        </w:rPr>
      </w:pPr>
    </w:p>
    <w:p w14:paraId="42352070" w14:textId="77777777" w:rsidR="00085328" w:rsidRDefault="00085328" w:rsidP="00537C07">
      <w:pPr>
        <w:pStyle w:val="Kopvaninhoudsopgave"/>
        <w:jc w:val="center"/>
        <w:rPr>
          <w:rFonts w:ascii="HouseofHRAvenirNextLTPro-Regula" w:hAnsi="HouseofHRAvenirNextLTPro-Regula"/>
          <w:color w:val="E0004D"/>
          <w:sz w:val="96"/>
          <w:szCs w:val="96"/>
          <w:lang w:eastAsia="nl-NL"/>
        </w:rPr>
      </w:pPr>
    </w:p>
    <w:p w14:paraId="28B37DA3" w14:textId="49D9C3B0" w:rsidR="00537C07" w:rsidRPr="00B438D1" w:rsidRDefault="00537C07" w:rsidP="00537C07">
      <w:pPr>
        <w:pStyle w:val="Kopvaninhoudsopgave"/>
        <w:jc w:val="center"/>
        <w:rPr>
          <w:rFonts w:ascii="HouseofHRAvenirNextLTPro-Regula" w:hAnsi="HouseofHRAvenirNextLTPro-Regula"/>
          <w:b/>
          <w:bCs/>
          <w:color w:val="E0004D"/>
          <w:sz w:val="96"/>
          <w:szCs w:val="96"/>
          <w:lang w:eastAsia="nl-NL"/>
        </w:rPr>
      </w:pPr>
      <w:r w:rsidRPr="00B438D1">
        <w:rPr>
          <w:rFonts w:ascii="HouseofHRAvenirNextLTPro-Regula" w:hAnsi="HouseofHRAvenirNextLTPro-Regula"/>
          <w:b/>
          <w:bCs/>
          <w:color w:val="E0004D"/>
          <w:sz w:val="96"/>
          <w:szCs w:val="96"/>
          <w:lang w:eastAsia="nl-NL"/>
        </w:rPr>
        <w:t>House of HR</w:t>
      </w:r>
    </w:p>
    <w:p w14:paraId="329B04FD" w14:textId="021CDF69" w:rsidR="00E04658" w:rsidRPr="006D62D0" w:rsidRDefault="00E04658" w:rsidP="00537C07">
      <w:pPr>
        <w:pStyle w:val="Kopvaninhoudsopgave"/>
        <w:jc w:val="center"/>
        <w:rPr>
          <w:rFonts w:ascii="HouseofHRAvenirNextLTPro-Regula" w:hAnsi="HouseofHRAvenirNextLTPro-Regula"/>
          <w:b/>
          <w:bCs/>
          <w:color w:val="E0004D"/>
          <w:sz w:val="96"/>
          <w:szCs w:val="96"/>
          <w:lang w:eastAsia="nl-NL"/>
        </w:rPr>
      </w:pPr>
      <w:r w:rsidRPr="006D62D0">
        <w:rPr>
          <w:rFonts w:ascii="HouseofHRAvenirNextLTPro-Regula" w:hAnsi="HouseofHRAvenirNextLTPro-Regula"/>
          <w:b/>
          <w:bCs/>
          <w:color w:val="E0004D"/>
          <w:sz w:val="96"/>
          <w:szCs w:val="96"/>
          <w:lang w:eastAsia="nl-NL"/>
        </w:rPr>
        <w:t xml:space="preserve">Tax </w:t>
      </w:r>
      <w:r w:rsidR="00464C60" w:rsidRPr="006D62D0">
        <w:rPr>
          <w:rFonts w:ascii="HouseofHRAvenirNextLTPro-Regula" w:hAnsi="HouseofHRAvenirNextLTPro-Regula"/>
          <w:b/>
          <w:bCs/>
          <w:color w:val="E0004D"/>
          <w:sz w:val="96"/>
          <w:szCs w:val="96"/>
          <w:lang w:eastAsia="nl-NL"/>
        </w:rPr>
        <w:t>Policy</w:t>
      </w:r>
    </w:p>
    <w:p w14:paraId="001B3CC6" w14:textId="77777777" w:rsidR="00E04658" w:rsidRPr="00537C07" w:rsidRDefault="00E04658" w:rsidP="00E04658">
      <w:pPr>
        <w:pStyle w:val="Kopvaninhoudsopgave"/>
        <w:jc w:val="center"/>
        <w:rPr>
          <w:rFonts w:ascii="HouseofHRAvenirNextLTPro-Regula" w:hAnsi="HouseofHRAvenirNextLTPro-Regula"/>
          <w:color w:val="auto"/>
        </w:rPr>
      </w:pPr>
    </w:p>
    <w:p w14:paraId="2FF729C2" w14:textId="77777777" w:rsidR="00E04658" w:rsidRPr="00537C07" w:rsidRDefault="00E04658" w:rsidP="00E04658">
      <w:pPr>
        <w:rPr>
          <w:lang w:eastAsia="en-US"/>
        </w:rPr>
      </w:pPr>
    </w:p>
    <w:p w14:paraId="3809C94D" w14:textId="77777777" w:rsidR="00E04658" w:rsidRPr="00537C07" w:rsidRDefault="00E04658" w:rsidP="00E04658">
      <w:pPr>
        <w:rPr>
          <w:lang w:eastAsia="en-US"/>
        </w:rPr>
      </w:pPr>
    </w:p>
    <w:p w14:paraId="3F927F7E" w14:textId="77777777" w:rsidR="00E04658" w:rsidRPr="00537C07" w:rsidRDefault="00E04658" w:rsidP="00E04658">
      <w:pPr>
        <w:rPr>
          <w:lang w:eastAsia="en-US"/>
        </w:rPr>
      </w:pPr>
    </w:p>
    <w:p w14:paraId="7231EB46" w14:textId="77777777" w:rsidR="00E04658" w:rsidRPr="00537C07" w:rsidRDefault="00E04658" w:rsidP="00E04658">
      <w:pPr>
        <w:rPr>
          <w:lang w:eastAsia="en-US"/>
        </w:rPr>
      </w:pPr>
    </w:p>
    <w:p w14:paraId="001BC8DB" w14:textId="77777777" w:rsidR="00E04658" w:rsidRPr="00537C07" w:rsidRDefault="00E04658" w:rsidP="00E04658">
      <w:pPr>
        <w:rPr>
          <w:lang w:eastAsia="en-US"/>
        </w:rPr>
      </w:pPr>
    </w:p>
    <w:p w14:paraId="44F526BE" w14:textId="77777777" w:rsidR="00E04658" w:rsidRPr="00537C07" w:rsidRDefault="00E04658" w:rsidP="00E04658">
      <w:pPr>
        <w:rPr>
          <w:lang w:eastAsia="en-US"/>
        </w:rPr>
      </w:pPr>
    </w:p>
    <w:p w14:paraId="0BDC0ECF" w14:textId="77777777" w:rsidR="00E04658" w:rsidRPr="00537C07" w:rsidRDefault="00E04658" w:rsidP="00E04658">
      <w:pPr>
        <w:rPr>
          <w:lang w:eastAsia="en-US"/>
        </w:rPr>
      </w:pPr>
    </w:p>
    <w:p w14:paraId="1430DD84" w14:textId="77777777" w:rsidR="00E04658" w:rsidRPr="00537C07" w:rsidRDefault="00E04658" w:rsidP="00E04658">
      <w:pPr>
        <w:rPr>
          <w:lang w:eastAsia="en-US"/>
        </w:rPr>
      </w:pPr>
    </w:p>
    <w:p w14:paraId="31AEBAEA" w14:textId="77777777" w:rsidR="00E04658" w:rsidRPr="00537C07" w:rsidRDefault="00E04658" w:rsidP="00E04658">
      <w:pPr>
        <w:rPr>
          <w:lang w:eastAsia="en-US"/>
        </w:rPr>
      </w:pPr>
    </w:p>
    <w:p w14:paraId="1745720F" w14:textId="77777777" w:rsidR="00E04658" w:rsidRPr="00537C07" w:rsidRDefault="00E04658" w:rsidP="00E04658">
      <w:pPr>
        <w:rPr>
          <w:lang w:eastAsia="en-US"/>
        </w:rPr>
      </w:pPr>
    </w:p>
    <w:p w14:paraId="5E357520" w14:textId="55ECD1F3" w:rsidR="00E04658" w:rsidRPr="003A5C04" w:rsidRDefault="00E04658" w:rsidP="00537C07">
      <w:pPr>
        <w:pStyle w:val="Kopvaninhoudsopgave"/>
        <w:jc w:val="right"/>
        <w:rPr>
          <w:rFonts w:ascii="HouseofHRAvenirNextLTPro-Regula" w:hAnsi="HouseofHRAvenirNextLTPro-Regula"/>
          <w:color w:val="auto"/>
          <w:sz w:val="36"/>
          <w:szCs w:val="36"/>
          <w:lang w:eastAsia="nl-NL"/>
        </w:rPr>
      </w:pPr>
      <w:r w:rsidRPr="003A5C04">
        <w:rPr>
          <w:rFonts w:ascii="HouseofHRAvenirNextLTPro-Regula" w:hAnsi="HouseofHRAvenirNextLTPro-Regula"/>
          <w:color w:val="auto"/>
          <w:sz w:val="36"/>
          <w:szCs w:val="36"/>
          <w:lang w:eastAsia="nl-NL"/>
        </w:rPr>
        <w:t>Version</w:t>
      </w:r>
      <w:r w:rsidR="00A370B5">
        <w:rPr>
          <w:rFonts w:ascii="HouseofHRAvenirNextLTPro-Regula" w:hAnsi="HouseofHRAvenirNextLTPro-Regula"/>
          <w:color w:val="auto"/>
          <w:sz w:val="36"/>
          <w:szCs w:val="36"/>
          <w:lang w:eastAsia="nl-NL"/>
        </w:rPr>
        <w:t xml:space="preserve"> </w:t>
      </w:r>
      <w:r w:rsidR="00A370B5" w:rsidRPr="00A370B5">
        <w:rPr>
          <w:rFonts w:ascii="HouseofHRAvenirNextLTPro-Regula" w:hAnsi="HouseofHRAvenirNextLTPro-Regula"/>
          <w:color w:val="auto"/>
          <w:sz w:val="36"/>
          <w:szCs w:val="36"/>
          <w:highlight w:val="yellow"/>
          <w:lang w:eastAsia="nl-NL"/>
        </w:rPr>
        <w:t>1.2.</w:t>
      </w:r>
    </w:p>
    <w:p w14:paraId="43DB37FF" w14:textId="77777777" w:rsidR="00E04658" w:rsidRPr="00537C07" w:rsidRDefault="00E04658" w:rsidP="00E04658">
      <w:pPr>
        <w:spacing w:line="240" w:lineRule="auto"/>
        <w:rPr>
          <w:rFonts w:ascii="Calibri Light" w:hAnsi="Calibri Light" w:cs="Calibri Light"/>
          <w:szCs w:val="18"/>
        </w:rPr>
      </w:pPr>
    </w:p>
    <w:p w14:paraId="4C0016A4" w14:textId="77777777" w:rsidR="00E04658" w:rsidRPr="00537C07" w:rsidRDefault="00E04658" w:rsidP="00E04658">
      <w:pPr>
        <w:tabs>
          <w:tab w:val="left" w:pos="1023"/>
        </w:tabs>
        <w:rPr>
          <w:rFonts w:ascii="Calibri Light" w:hAnsi="Calibri Light" w:cs="Calibri Light"/>
          <w:szCs w:val="18"/>
        </w:rPr>
      </w:pPr>
    </w:p>
    <w:p w14:paraId="2CAB0652" w14:textId="77777777" w:rsidR="00E04658" w:rsidRPr="00537C07" w:rsidRDefault="00E04658">
      <w:pPr>
        <w:spacing w:after="160" w:line="259" w:lineRule="auto"/>
        <w:rPr>
          <w:rFonts w:ascii="HouseofHRAvenirNextLTPro-Regula" w:eastAsiaTheme="majorEastAsia" w:hAnsi="HouseofHRAvenirNextLTPro-Regula" w:cstheme="majorBidi"/>
          <w:color w:val="201547"/>
          <w:sz w:val="40"/>
          <w:szCs w:val="32"/>
        </w:rPr>
      </w:pPr>
      <w:r w:rsidRPr="00537C07">
        <w:rPr>
          <w:rFonts w:ascii="HouseofHRAvenirNextLTPro-Regula" w:hAnsi="HouseofHRAvenirNextLTPro-Regula"/>
        </w:rPr>
        <w:br w:type="page"/>
      </w:r>
    </w:p>
    <w:p w14:paraId="72123575" w14:textId="047E62A7" w:rsidR="003A03EC" w:rsidRPr="00445B99" w:rsidRDefault="003A03EC" w:rsidP="00165013">
      <w:pPr>
        <w:pStyle w:val="Kop2"/>
        <w:numPr>
          <w:ilvl w:val="0"/>
          <w:numId w:val="4"/>
        </w:numPr>
        <w:tabs>
          <w:tab w:val="num" w:pos="360"/>
        </w:tabs>
        <w:ind w:left="0" w:firstLine="0"/>
        <w:rPr>
          <w:rFonts w:ascii="HouseofHRAvenirNextLTPro-Regula" w:hAnsi="HouseofHRAvenirNextLTPro-Regula"/>
        </w:rPr>
      </w:pPr>
      <w:bookmarkStart w:id="0" w:name="_Toc163232785"/>
      <w:bookmarkStart w:id="1" w:name="_Toc163233448"/>
      <w:bookmarkStart w:id="2" w:name="_Toc172901795"/>
      <w:bookmarkEnd w:id="0"/>
      <w:bookmarkEnd w:id="1"/>
      <w:r w:rsidRPr="00445B99">
        <w:rPr>
          <w:rFonts w:ascii="HouseofHRAvenirNextLTPro-Regula" w:hAnsi="HouseofHRAvenirNextLTPro-Regula"/>
        </w:rPr>
        <w:lastRenderedPageBreak/>
        <w:t>Purpose</w:t>
      </w:r>
      <w:bookmarkEnd w:id="2"/>
    </w:p>
    <w:p w14:paraId="41FD49AF" w14:textId="5AD25646" w:rsidR="008C3A87" w:rsidRDefault="00241F25" w:rsidP="003A03EC">
      <w:pPr>
        <w:rPr>
          <w:rFonts w:ascii="HouseofHRAvenirNextLTPro-Regula" w:hAnsi="HouseofHRAvenirNextLTPro-Regula"/>
        </w:rPr>
      </w:pPr>
      <w:r>
        <w:rPr>
          <w:rFonts w:ascii="HouseofHRAvenirNextLTPro-Regula" w:hAnsi="HouseofHRAvenirNextLTPro-Regula"/>
        </w:rPr>
        <w:t xml:space="preserve">This </w:t>
      </w:r>
      <w:r w:rsidR="001C240A" w:rsidRPr="001C240A">
        <w:rPr>
          <w:rFonts w:ascii="HouseofHRAvenirNextLTPro-Regula" w:eastAsiaTheme="majorEastAsia" w:hAnsi="HouseofHRAvenirNextLTPro-Regula" w:cstheme="majorBidi"/>
          <w:color w:val="E0004D"/>
          <w:szCs w:val="26"/>
        </w:rPr>
        <w:t>t</w:t>
      </w:r>
      <w:r w:rsidRPr="001C240A">
        <w:rPr>
          <w:rFonts w:ascii="HouseofHRAvenirNextLTPro-Regula" w:eastAsiaTheme="majorEastAsia" w:hAnsi="HouseofHRAvenirNextLTPro-Regula" w:cstheme="majorBidi"/>
          <w:color w:val="E0004D"/>
          <w:szCs w:val="26"/>
        </w:rPr>
        <w:t xml:space="preserve">ax </w:t>
      </w:r>
      <w:r w:rsidR="001C240A">
        <w:rPr>
          <w:rFonts w:ascii="HouseofHRAvenirNextLTPro-Regula" w:eastAsiaTheme="majorEastAsia" w:hAnsi="HouseofHRAvenirNextLTPro-Regula" w:cstheme="majorBidi"/>
          <w:color w:val="E0004D"/>
          <w:szCs w:val="26"/>
        </w:rPr>
        <w:t>p</w:t>
      </w:r>
      <w:r w:rsidRPr="001C240A">
        <w:rPr>
          <w:rFonts w:ascii="HouseofHRAvenirNextLTPro-Regula" w:eastAsiaTheme="majorEastAsia" w:hAnsi="HouseofHRAvenirNextLTPro-Regula" w:cstheme="majorBidi"/>
          <w:color w:val="E0004D"/>
          <w:szCs w:val="26"/>
        </w:rPr>
        <w:t>olicy</w:t>
      </w:r>
      <w:r>
        <w:rPr>
          <w:rFonts w:ascii="HouseofHRAvenirNextLTPro-Regula" w:hAnsi="HouseofHRAvenirNextLTPro-Regula"/>
        </w:rPr>
        <w:t xml:space="preserve"> document highlights </w:t>
      </w:r>
      <w:r w:rsidR="008C3A87">
        <w:rPr>
          <w:rFonts w:ascii="HouseofHRAvenirNextLTPro-Regula" w:hAnsi="HouseofHRAvenirNextLTPro-Regula"/>
        </w:rPr>
        <w:t>our approach to tax</w:t>
      </w:r>
      <w:r>
        <w:rPr>
          <w:rFonts w:ascii="HouseofHRAvenirNextLTPro-Regula" w:hAnsi="HouseofHRAvenirNextLTPro-Regula"/>
        </w:rPr>
        <w:t xml:space="preserve">. Through this tax policy, we </w:t>
      </w:r>
      <w:r w:rsidR="008C3A87">
        <w:rPr>
          <w:rFonts w:ascii="HouseofHRAvenirNextLTPro-Regula" w:hAnsi="HouseofHRAvenirNextLTPro-Regula"/>
        </w:rPr>
        <w:t xml:space="preserve">aim to build and </w:t>
      </w:r>
      <w:r>
        <w:rPr>
          <w:rFonts w:ascii="HouseofHRAvenirNextLTPro-Regula" w:hAnsi="HouseofHRAvenirNextLTPro-Regula"/>
        </w:rPr>
        <w:t xml:space="preserve">maintain trust with our stakeholders and </w:t>
      </w:r>
      <w:r w:rsidR="001C42E7">
        <w:rPr>
          <w:rFonts w:ascii="HouseofHRAvenirNextLTPro-Regula" w:hAnsi="HouseofHRAvenirNextLTPro-Regula"/>
        </w:rPr>
        <w:t xml:space="preserve">support our </w:t>
      </w:r>
      <w:r>
        <w:rPr>
          <w:rFonts w:ascii="HouseofHRAvenirNextLTPro-Regula" w:hAnsi="HouseofHRAvenirNextLTPro-Regula"/>
        </w:rPr>
        <w:t xml:space="preserve">Environmental, Social and Governance (ESG) </w:t>
      </w:r>
      <w:r w:rsidR="001C42E7">
        <w:rPr>
          <w:rFonts w:ascii="HouseofHRAvenirNextLTPro-Regula" w:hAnsi="HouseofHRAvenirNextLTPro-Regula"/>
        </w:rPr>
        <w:t>commitments by ensuring ethical conduct and social responsibility in our tax affairs</w:t>
      </w:r>
      <w:r>
        <w:rPr>
          <w:rFonts w:ascii="HouseofHRAvenirNextLTPro-Regula" w:hAnsi="HouseofHRAvenirNextLTPro-Regula"/>
        </w:rPr>
        <w:t>.</w:t>
      </w:r>
      <w:r w:rsidR="008C3A87">
        <w:rPr>
          <w:rFonts w:ascii="HouseofHRAvenirNextLTPro-Regula" w:hAnsi="HouseofHRAvenirNextLTPro-Regula"/>
        </w:rPr>
        <w:t xml:space="preserve"> </w:t>
      </w:r>
    </w:p>
    <w:p w14:paraId="1FEDBEE2" w14:textId="77777777" w:rsidR="008C3A87" w:rsidRDefault="008C3A87" w:rsidP="003A03EC">
      <w:pPr>
        <w:rPr>
          <w:rFonts w:ascii="HouseofHRAvenirNextLTPro-Regula" w:hAnsi="HouseofHRAvenirNextLTPro-Regula"/>
        </w:rPr>
      </w:pPr>
    </w:p>
    <w:p w14:paraId="06E518A6" w14:textId="696F61B0" w:rsidR="003A03EC" w:rsidRPr="00445B99" w:rsidRDefault="00241F25" w:rsidP="003A03EC">
      <w:pPr>
        <w:rPr>
          <w:rFonts w:ascii="HouseofHRAvenirNextLTPro-Regula" w:hAnsi="HouseofHRAvenirNextLTPro-Regula"/>
        </w:rPr>
      </w:pPr>
      <w:r>
        <w:rPr>
          <w:rFonts w:ascii="HouseofHRAvenirNextLTPro-Regula" w:hAnsi="HouseofHRAvenirNextLTPro-Regula"/>
        </w:rPr>
        <w:t>Th</w:t>
      </w:r>
      <w:r w:rsidR="001C42E7">
        <w:rPr>
          <w:rFonts w:ascii="HouseofHRAvenirNextLTPro-Regula" w:hAnsi="HouseofHRAvenirNextLTPro-Regula"/>
        </w:rPr>
        <w:t>is</w:t>
      </w:r>
      <w:r>
        <w:rPr>
          <w:rFonts w:ascii="HouseofHRAvenirNextLTPro-Regula" w:hAnsi="HouseofHRAvenirNextLTPro-Regula"/>
        </w:rPr>
        <w:t xml:space="preserve"> tax policy is</w:t>
      </w:r>
      <w:r w:rsidR="00BF4FB7">
        <w:rPr>
          <w:rFonts w:ascii="HouseofHRAvenirNextLTPro-Regula" w:hAnsi="HouseofHRAvenirNextLTPro-Regula"/>
        </w:rPr>
        <w:t xml:space="preserve"> a synopsis of </w:t>
      </w:r>
      <w:r>
        <w:rPr>
          <w:rFonts w:ascii="HouseofHRAvenirNextLTPro-Regula" w:hAnsi="HouseofHRAvenirNextLTPro-Regula"/>
        </w:rPr>
        <w:t>the House of HR</w:t>
      </w:r>
      <w:r w:rsidR="00BF4FB7">
        <w:rPr>
          <w:rFonts w:ascii="HouseofHRAvenirNextLTPro-Regula" w:hAnsi="HouseofHRAvenirNextLTPro-Regula"/>
        </w:rPr>
        <w:t xml:space="preserve"> tax strategy</w:t>
      </w:r>
      <w:r>
        <w:rPr>
          <w:rFonts w:ascii="HouseofHRAvenirNextLTPro-Regula" w:hAnsi="HouseofHRAvenirNextLTPro-Regula"/>
        </w:rPr>
        <w:t xml:space="preserve">. </w:t>
      </w:r>
      <w:r w:rsidR="00A53B3C" w:rsidRPr="001C240A">
        <w:rPr>
          <w:rFonts w:ascii="HouseofHRAvenirNextLTPro-Regula" w:eastAsiaTheme="majorEastAsia" w:hAnsi="HouseofHRAvenirNextLTPro-Regula" w:cstheme="majorBidi"/>
          <w:color w:val="E0004D"/>
          <w:szCs w:val="26"/>
        </w:rPr>
        <w:t xml:space="preserve">The House of HR </w:t>
      </w:r>
      <w:r w:rsidR="001C240A">
        <w:rPr>
          <w:rFonts w:ascii="HouseofHRAvenirNextLTPro-Regula" w:eastAsiaTheme="majorEastAsia" w:hAnsi="HouseofHRAvenirNextLTPro-Regula" w:cstheme="majorBidi"/>
          <w:color w:val="E0004D"/>
          <w:szCs w:val="26"/>
        </w:rPr>
        <w:t>T</w:t>
      </w:r>
      <w:r w:rsidR="00A53B3C" w:rsidRPr="001C240A">
        <w:rPr>
          <w:rFonts w:ascii="HouseofHRAvenirNextLTPro-Regula" w:eastAsiaTheme="majorEastAsia" w:hAnsi="HouseofHRAvenirNextLTPro-Regula" w:cstheme="majorBidi"/>
          <w:color w:val="E0004D"/>
          <w:szCs w:val="26"/>
        </w:rPr>
        <w:t xml:space="preserve">ax </w:t>
      </w:r>
      <w:r w:rsidR="001C240A">
        <w:rPr>
          <w:rFonts w:ascii="HouseofHRAvenirNextLTPro-Regula" w:eastAsiaTheme="majorEastAsia" w:hAnsi="HouseofHRAvenirNextLTPro-Regula" w:cstheme="majorBidi"/>
          <w:color w:val="E0004D"/>
          <w:szCs w:val="26"/>
        </w:rPr>
        <w:t>S</w:t>
      </w:r>
      <w:r w:rsidR="00A53B3C" w:rsidRPr="001C240A">
        <w:rPr>
          <w:rFonts w:ascii="HouseofHRAvenirNextLTPro-Regula" w:eastAsiaTheme="majorEastAsia" w:hAnsi="HouseofHRAvenirNextLTPro-Regula" w:cstheme="majorBidi"/>
          <w:color w:val="E0004D"/>
          <w:szCs w:val="26"/>
        </w:rPr>
        <w:t>trategy</w:t>
      </w:r>
      <w:r w:rsidR="00A53B3C">
        <w:rPr>
          <w:rFonts w:ascii="HouseofHRAvenirNextLTPro-Regula" w:hAnsi="HouseofHRAvenirNextLTPro-Regula"/>
        </w:rPr>
        <w:t xml:space="preserve"> document </w:t>
      </w:r>
      <w:r w:rsidR="001C42E7">
        <w:rPr>
          <w:rFonts w:ascii="HouseofHRAvenirNextLTPro-Regula" w:hAnsi="HouseofHRAvenirNextLTPro-Regula"/>
        </w:rPr>
        <w:t>provides more comprehensive</w:t>
      </w:r>
      <w:r w:rsidR="008C3A87">
        <w:rPr>
          <w:rFonts w:ascii="HouseofHRAvenirNextLTPro-Regula" w:hAnsi="HouseofHRAvenirNextLTPro-Regula"/>
        </w:rPr>
        <w:t xml:space="preserve"> insights on the </w:t>
      </w:r>
      <w:r>
        <w:rPr>
          <w:rFonts w:ascii="HouseofHRAvenirNextLTPro-Regula" w:hAnsi="HouseofHRAvenirNextLTPro-Regula"/>
        </w:rPr>
        <w:t xml:space="preserve">tax </w:t>
      </w:r>
      <w:r w:rsidR="008C3A87">
        <w:rPr>
          <w:rFonts w:ascii="HouseofHRAvenirNextLTPro-Regula" w:hAnsi="HouseofHRAvenirNextLTPro-Regula"/>
        </w:rPr>
        <w:t>function</w:t>
      </w:r>
      <w:r w:rsidR="001C42E7">
        <w:rPr>
          <w:rFonts w:ascii="HouseofHRAvenirNextLTPro-Regula" w:hAnsi="HouseofHRAvenirNextLTPro-Regula"/>
        </w:rPr>
        <w:t xml:space="preserve"> and</w:t>
      </w:r>
      <w:r>
        <w:rPr>
          <w:rFonts w:ascii="HouseofHRAvenirNextLTPro-Regula" w:hAnsi="HouseofHRAvenirNextLTPro-Regula"/>
        </w:rPr>
        <w:t xml:space="preserve"> </w:t>
      </w:r>
      <w:r w:rsidR="001C42E7">
        <w:rPr>
          <w:rFonts w:ascii="HouseofHRAvenirNextLTPro-Regula" w:hAnsi="HouseofHRAvenirNextLTPro-Regula"/>
        </w:rPr>
        <w:t>the</w:t>
      </w:r>
      <w:r w:rsidR="008C3A87">
        <w:rPr>
          <w:rFonts w:ascii="HouseofHRAvenirNextLTPro-Regula" w:hAnsi="HouseofHRAvenirNextLTPro-Regula"/>
        </w:rPr>
        <w:t xml:space="preserve"> manag</w:t>
      </w:r>
      <w:r w:rsidR="001C42E7">
        <w:rPr>
          <w:rFonts w:ascii="HouseofHRAvenirNextLTPro-Regula" w:hAnsi="HouseofHRAvenirNextLTPro-Regula"/>
        </w:rPr>
        <w:t>ing</w:t>
      </w:r>
      <w:r>
        <w:rPr>
          <w:rFonts w:ascii="HouseofHRAvenirNextLTPro-Regula" w:hAnsi="HouseofHRAvenirNextLTPro-Regula"/>
        </w:rPr>
        <w:t xml:space="preserve"> </w:t>
      </w:r>
      <w:r w:rsidR="001C42E7">
        <w:rPr>
          <w:rFonts w:ascii="HouseofHRAvenirNextLTPro-Regula" w:hAnsi="HouseofHRAvenirNextLTPro-Regula"/>
        </w:rPr>
        <w:t xml:space="preserve">of </w:t>
      </w:r>
      <w:r>
        <w:rPr>
          <w:rFonts w:ascii="HouseofHRAvenirNextLTPro-Regula" w:hAnsi="HouseofHRAvenirNextLTPro-Regula"/>
        </w:rPr>
        <w:t>tax risks</w:t>
      </w:r>
      <w:r w:rsidR="001C42E7">
        <w:rPr>
          <w:rFonts w:ascii="HouseofHRAvenirNextLTPro-Regula" w:hAnsi="HouseofHRAvenirNextLTPro-Regula"/>
        </w:rPr>
        <w:t xml:space="preserve"> within our organization</w:t>
      </w:r>
      <w:r>
        <w:rPr>
          <w:rFonts w:ascii="HouseofHRAvenirNextLTPro-Regula" w:hAnsi="HouseofHRAvenirNextLTPro-Regula"/>
        </w:rPr>
        <w:t xml:space="preserve">. While the more detailed tax strategy document is available upon request, this tax policy is accessible to all stakeholders.  </w:t>
      </w:r>
    </w:p>
    <w:p w14:paraId="1DEF39BA" w14:textId="77777777" w:rsidR="003A03EC" w:rsidRPr="00445B99" w:rsidRDefault="003A03EC" w:rsidP="003A03EC">
      <w:pPr>
        <w:rPr>
          <w:rFonts w:ascii="HouseofHRAvenirNextLTPro-Regula" w:hAnsi="HouseofHRAvenirNextLTPro-Regula"/>
        </w:rPr>
      </w:pPr>
    </w:p>
    <w:p w14:paraId="7D86487E" w14:textId="77777777" w:rsidR="003A03EC" w:rsidRPr="00445B99" w:rsidRDefault="003A03EC" w:rsidP="003A03EC">
      <w:pPr>
        <w:pStyle w:val="Kop2"/>
        <w:numPr>
          <w:ilvl w:val="0"/>
          <w:numId w:val="4"/>
        </w:numPr>
        <w:tabs>
          <w:tab w:val="num" w:pos="360"/>
        </w:tabs>
        <w:ind w:left="0" w:firstLine="0"/>
        <w:rPr>
          <w:rFonts w:ascii="HouseofHRAvenirNextLTPro-Regula" w:hAnsi="HouseofHRAvenirNextLTPro-Regula"/>
        </w:rPr>
      </w:pPr>
      <w:bookmarkStart w:id="3" w:name="_Toc172901796"/>
      <w:r w:rsidRPr="00445B99">
        <w:rPr>
          <w:rFonts w:ascii="HouseofHRAvenirNextLTPro-Regula" w:hAnsi="HouseofHRAvenirNextLTPro-Regula"/>
        </w:rPr>
        <w:t>Scope</w:t>
      </w:r>
      <w:bookmarkEnd w:id="3"/>
    </w:p>
    <w:p w14:paraId="6623098D" w14:textId="2FDAA45E" w:rsidR="003A03EC" w:rsidRPr="00445B99" w:rsidRDefault="003A03EC" w:rsidP="003A03EC">
      <w:pPr>
        <w:jc w:val="both"/>
        <w:rPr>
          <w:rFonts w:ascii="HouseofHRAvenirNextLTPro-Regula" w:hAnsi="HouseofHRAvenirNextLTPro-Regula"/>
        </w:rPr>
      </w:pPr>
      <w:r w:rsidRPr="00445B99">
        <w:rPr>
          <w:rFonts w:ascii="HouseofHRAvenirNextLTPro-Regula" w:hAnsi="HouseofHRAvenirNextLTPro-Regula"/>
        </w:rPr>
        <w:t xml:space="preserve">This </w:t>
      </w:r>
      <w:r w:rsidR="00464C60">
        <w:rPr>
          <w:rFonts w:ascii="HouseofHRAvenirNextLTPro-Regula" w:hAnsi="HouseofHRAvenirNextLTPro-Regula"/>
        </w:rPr>
        <w:t>tax policy</w:t>
      </w:r>
      <w:r w:rsidR="008A6B13" w:rsidRPr="00445B99">
        <w:rPr>
          <w:rFonts w:ascii="HouseofHRAvenirNextLTPro-Regula" w:hAnsi="HouseofHRAvenirNextLTPro-Regula"/>
        </w:rPr>
        <w:t xml:space="preserve"> </w:t>
      </w:r>
      <w:r w:rsidRPr="00445B99">
        <w:rPr>
          <w:rFonts w:ascii="HouseofHRAvenirNextLTPro-Regula" w:hAnsi="HouseofHRAvenirNextLTPro-Regula"/>
        </w:rPr>
        <w:t>is applicable to House of HR</w:t>
      </w:r>
      <w:r w:rsidR="00017962" w:rsidRPr="00445B99">
        <w:rPr>
          <w:rFonts w:ascii="HouseofHRAvenirNextLTPro-Regula" w:hAnsi="HouseofHRAvenirNextLTPro-Regula"/>
        </w:rPr>
        <w:t xml:space="preserve"> </w:t>
      </w:r>
      <w:r w:rsidRPr="00445B99">
        <w:rPr>
          <w:rFonts w:ascii="HouseofHRAvenirNextLTPro-Regula" w:hAnsi="HouseofHRAvenirNextLTPro-Regula"/>
        </w:rPr>
        <w:t xml:space="preserve">and all </w:t>
      </w:r>
      <w:proofErr w:type="spellStart"/>
      <w:r w:rsidR="00D23162" w:rsidRPr="00445B99">
        <w:rPr>
          <w:rFonts w:ascii="HouseofHRAvenirNextLTPro-Regula" w:hAnsi="HouseofHRAvenirNextLTPro-Regula"/>
        </w:rPr>
        <w:t>PowerHouses</w:t>
      </w:r>
      <w:proofErr w:type="spellEnd"/>
      <w:r w:rsidRPr="00445B99">
        <w:rPr>
          <w:rFonts w:ascii="HouseofHRAvenirNextLTPro-Regula" w:hAnsi="HouseofHRAvenirNextLTPro-Regula"/>
        </w:rPr>
        <w:t xml:space="preserve"> </w:t>
      </w:r>
      <w:r w:rsidR="00B75304" w:rsidRPr="00445B99">
        <w:rPr>
          <w:rFonts w:ascii="HouseofHRAvenirNextLTPro-Regula" w:hAnsi="HouseofHRAvenirNextLTPro-Regula"/>
        </w:rPr>
        <w:t xml:space="preserve">and </w:t>
      </w:r>
      <w:r w:rsidRPr="00445B99">
        <w:rPr>
          <w:rFonts w:ascii="HouseofHRAvenirNextLTPro-Regula" w:hAnsi="HouseofHRAvenirNextLTPro-Regula"/>
        </w:rPr>
        <w:t>Boutiques in which House of HR holds a direct or indirect controlling interest (jointly referred to as “House of HR Group”).</w:t>
      </w:r>
      <w:r w:rsidR="00BF4FB7">
        <w:rPr>
          <w:rFonts w:ascii="HouseofHRAvenirNextLTPro-Regula" w:hAnsi="HouseofHRAvenirNextLTPro-Regula"/>
        </w:rPr>
        <w:t xml:space="preserve"> </w:t>
      </w:r>
      <w:r w:rsidR="00017962" w:rsidRPr="00445B99">
        <w:rPr>
          <w:rFonts w:ascii="HouseofHRAvenirNextLTPro-Regula" w:hAnsi="HouseofHRAvenirNextLTPro-Regula"/>
        </w:rPr>
        <w:t>H</w:t>
      </w:r>
      <w:r w:rsidR="00E22713" w:rsidRPr="00445B99">
        <w:rPr>
          <w:rFonts w:ascii="HouseofHRAvenirNextLTPro-Regula" w:hAnsi="HouseofHRAvenirNextLTPro-Regula"/>
        </w:rPr>
        <w:t>ouse of HR</w:t>
      </w:r>
      <w:r w:rsidRPr="00445B99">
        <w:rPr>
          <w:rFonts w:ascii="HouseofHRAvenirNextLTPro-Regula" w:hAnsi="HouseofHRAvenirNextLTPro-Regula"/>
        </w:rPr>
        <w:t xml:space="preserve"> shall communicate th</w:t>
      </w:r>
      <w:r w:rsidR="00017962" w:rsidRPr="00445B99">
        <w:rPr>
          <w:rFonts w:ascii="HouseofHRAvenirNextLTPro-Regula" w:hAnsi="HouseofHRAvenirNextLTPro-Regula"/>
        </w:rPr>
        <w:t>is</w:t>
      </w:r>
      <w:r w:rsidRPr="00445B99">
        <w:rPr>
          <w:rFonts w:ascii="HouseofHRAvenirNextLTPro-Regula" w:hAnsi="HouseofHRAvenirNextLTPro-Regula"/>
        </w:rPr>
        <w:t xml:space="preserve"> </w:t>
      </w:r>
      <w:r w:rsidR="008A6B13" w:rsidRPr="00445B99">
        <w:rPr>
          <w:rFonts w:ascii="HouseofHRAvenirNextLTPro-Regula" w:hAnsi="HouseofHRAvenirNextLTPro-Regula"/>
        </w:rPr>
        <w:t>document</w:t>
      </w:r>
      <w:r w:rsidRPr="00445B99">
        <w:rPr>
          <w:rFonts w:ascii="HouseofHRAvenirNextLTPro-Regula" w:hAnsi="HouseofHRAvenirNextLTPro-Regula"/>
        </w:rPr>
        <w:t xml:space="preserve"> to all employees, management, and stakeholders involved in the </w:t>
      </w:r>
      <w:r w:rsidR="007A049E" w:rsidRPr="00445B99">
        <w:rPr>
          <w:rFonts w:ascii="HouseofHRAvenirNextLTPro-Regula" w:hAnsi="HouseofHRAvenirNextLTPro-Regula"/>
        </w:rPr>
        <w:t>tax</w:t>
      </w:r>
      <w:r w:rsidRPr="00445B99">
        <w:rPr>
          <w:rFonts w:ascii="HouseofHRAvenirNextLTPro-Regula" w:hAnsi="HouseofHRAvenirNextLTPro-Regula"/>
        </w:rPr>
        <w:t xml:space="preserve"> process</w:t>
      </w:r>
      <w:r w:rsidR="00017962" w:rsidRPr="00445B99">
        <w:rPr>
          <w:rFonts w:ascii="HouseofHRAvenirNextLTPro-Regula" w:hAnsi="HouseofHRAvenirNextLTPro-Regula"/>
        </w:rPr>
        <w:t>es</w:t>
      </w:r>
      <w:r w:rsidRPr="00445B99">
        <w:rPr>
          <w:rFonts w:ascii="HouseofHRAvenirNextLTPro-Regula" w:hAnsi="HouseofHRAvenirNextLTPro-Regula"/>
        </w:rPr>
        <w:t xml:space="preserve">. </w:t>
      </w:r>
      <w:r w:rsidR="00474EF7" w:rsidRPr="00445B99">
        <w:rPr>
          <w:rFonts w:ascii="HouseofHRAvenirNextLTPro-Regula" w:hAnsi="HouseofHRAvenirNextLTPro-Regula"/>
        </w:rPr>
        <w:t xml:space="preserve">Changes in strategy, business operations or amended laws and regulations may give rise to adjustments to this document. </w:t>
      </w:r>
      <w:r w:rsidRPr="00445B99">
        <w:rPr>
          <w:rFonts w:ascii="HouseofHRAvenirNextLTPro-Regula" w:hAnsi="HouseofHRAvenirNextLTPro-Regula"/>
        </w:rPr>
        <w:t xml:space="preserve">This </w:t>
      </w:r>
      <w:r w:rsidR="00464C60">
        <w:rPr>
          <w:rFonts w:ascii="HouseofHRAvenirNextLTPro-Regula" w:hAnsi="HouseofHRAvenirNextLTPro-Regula"/>
        </w:rPr>
        <w:t>tax policy</w:t>
      </w:r>
      <w:r w:rsidRPr="00445B99">
        <w:rPr>
          <w:rFonts w:ascii="HouseofHRAvenirNextLTPro-Regula" w:hAnsi="HouseofHRAvenirNextLTPro-Regula"/>
        </w:rPr>
        <w:t xml:space="preserve"> (and its amendments) is subject to approval by </w:t>
      </w:r>
      <w:r w:rsidR="007A049E" w:rsidRPr="00445B99">
        <w:rPr>
          <w:rFonts w:ascii="HouseofHRAvenirNextLTPro-Regula" w:hAnsi="HouseofHRAvenirNextLTPro-Regula"/>
        </w:rPr>
        <w:t xml:space="preserve">the </w:t>
      </w:r>
      <w:r w:rsidR="00DB755B" w:rsidRPr="00445B99">
        <w:rPr>
          <w:rFonts w:ascii="HouseofHRAvenirNextLTPro-Regula" w:hAnsi="HouseofHRAvenirNextLTPro-Regula"/>
        </w:rPr>
        <w:t>Board</w:t>
      </w:r>
      <w:r w:rsidR="007A049E" w:rsidRPr="00445B99">
        <w:rPr>
          <w:rFonts w:ascii="HouseofHRAvenirNextLTPro-Regula" w:hAnsi="HouseofHRAvenirNextLTPro-Regula"/>
        </w:rPr>
        <w:t xml:space="preserve"> </w:t>
      </w:r>
      <w:r w:rsidR="009873D5" w:rsidRPr="00445B99">
        <w:rPr>
          <w:rFonts w:ascii="HouseofHRAvenirNextLTPro-Regula" w:hAnsi="HouseofHRAvenirNextLTPro-Regula"/>
        </w:rPr>
        <w:t xml:space="preserve">of Directors </w:t>
      </w:r>
      <w:r w:rsidR="007A049E" w:rsidRPr="00445B99">
        <w:rPr>
          <w:rFonts w:ascii="HouseofHRAvenirNextLTPro-Regula" w:hAnsi="HouseofHRAvenirNextLTPro-Regula"/>
        </w:rPr>
        <w:t>of House of HR.</w:t>
      </w:r>
    </w:p>
    <w:p w14:paraId="38358247" w14:textId="77777777" w:rsidR="00E74EC9" w:rsidRPr="00445B99" w:rsidRDefault="00E74EC9" w:rsidP="003A03EC">
      <w:pPr>
        <w:jc w:val="both"/>
        <w:rPr>
          <w:rFonts w:ascii="HouseofHRAvenirNextLTPro-Regula" w:hAnsi="HouseofHRAvenirNextLTPro-Regula"/>
        </w:rPr>
      </w:pPr>
    </w:p>
    <w:p w14:paraId="42008324" w14:textId="5E3E2EA2" w:rsidR="00E74EC9" w:rsidRPr="00445B99" w:rsidRDefault="003E66E8" w:rsidP="00E74EC9">
      <w:pPr>
        <w:rPr>
          <w:rFonts w:ascii="HouseofHRAvenirNextLTPro-Regula" w:hAnsi="HouseofHRAvenirNextLTPro-Regula"/>
        </w:rPr>
      </w:pPr>
      <w:r w:rsidRPr="00445B99">
        <w:rPr>
          <w:rFonts w:ascii="HouseofHRAvenirNextLTPro-Regula" w:hAnsi="HouseofHRAvenirNextLTPro-Regula"/>
        </w:rPr>
        <w:t>This</w:t>
      </w:r>
      <w:r w:rsidR="00AB4197" w:rsidRPr="00445B99">
        <w:rPr>
          <w:rFonts w:ascii="HouseofHRAvenirNextLTPro-Regula" w:hAnsi="HouseofHRAvenirNextLTPro-Regula"/>
        </w:rPr>
        <w:t xml:space="preserve"> document addresses the</w:t>
      </w:r>
      <w:r w:rsidRPr="00445B99">
        <w:rPr>
          <w:rFonts w:ascii="HouseofHRAvenirNextLTPro-Regula" w:hAnsi="HouseofHRAvenirNextLTPro-Regula"/>
        </w:rPr>
        <w:t xml:space="preserve"> </w:t>
      </w:r>
      <w:r w:rsidR="00464C60">
        <w:rPr>
          <w:rFonts w:ascii="HouseofHRAvenirNextLTPro-Regula" w:hAnsi="HouseofHRAvenirNextLTPro-Regula"/>
        </w:rPr>
        <w:t>tax policy</w:t>
      </w:r>
      <w:r w:rsidR="00AB4197" w:rsidRPr="00445B99">
        <w:rPr>
          <w:rFonts w:ascii="HouseofHRAvenirNextLTPro-Regula" w:hAnsi="HouseofHRAvenirNextLTPro-Regula"/>
        </w:rPr>
        <w:t xml:space="preserve"> for </w:t>
      </w:r>
      <w:r w:rsidR="00A41736" w:rsidRPr="00445B99">
        <w:rPr>
          <w:rFonts w:ascii="HouseofHRAvenirNextLTPro-Regula" w:hAnsi="HouseofHRAvenirNextLTPro-Regula"/>
        </w:rPr>
        <w:t>House of HR</w:t>
      </w:r>
      <w:r w:rsidR="00F352B2" w:rsidRPr="00445B99">
        <w:rPr>
          <w:rFonts w:ascii="HouseofHRAvenirNextLTPro-Regula" w:hAnsi="HouseofHRAvenirNextLTPro-Regula"/>
        </w:rPr>
        <w:t xml:space="preserve"> Group</w:t>
      </w:r>
      <w:r w:rsidR="00A41736" w:rsidRPr="00445B99">
        <w:rPr>
          <w:rFonts w:ascii="HouseofHRAvenirNextLTPro-Regula" w:hAnsi="HouseofHRAvenirNextLTPro-Regula"/>
        </w:rPr>
        <w:t xml:space="preserve"> </w:t>
      </w:r>
      <w:r w:rsidR="00AB4197" w:rsidRPr="00445B99">
        <w:rPr>
          <w:rFonts w:ascii="HouseofHRAvenirNextLTPro-Regula" w:hAnsi="HouseofHRAvenirNextLTPro-Regula"/>
        </w:rPr>
        <w:t xml:space="preserve">and </w:t>
      </w:r>
      <w:r w:rsidR="00A41736" w:rsidRPr="00445B99">
        <w:rPr>
          <w:rFonts w:ascii="HouseofHRAvenirNextLTPro-Regula" w:hAnsi="HouseofHRAvenirNextLTPro-Regula"/>
        </w:rPr>
        <w:t xml:space="preserve">sets out the strategic framework </w:t>
      </w:r>
      <w:r w:rsidR="004F1DF2" w:rsidRPr="00445B99">
        <w:rPr>
          <w:rFonts w:ascii="HouseofHRAvenirNextLTPro-Regula" w:hAnsi="HouseofHRAvenirNextLTPro-Regula"/>
        </w:rPr>
        <w:t>with respect to</w:t>
      </w:r>
      <w:r w:rsidR="00A41736" w:rsidRPr="00445B99">
        <w:rPr>
          <w:rFonts w:ascii="HouseofHRAvenirNextLTPro-Regula" w:hAnsi="HouseofHRAvenirNextLTPro-Regula"/>
        </w:rPr>
        <w:t xml:space="preserve"> </w:t>
      </w:r>
      <w:r w:rsidR="00E55F78" w:rsidRPr="00445B99">
        <w:rPr>
          <w:rFonts w:ascii="HouseofHRAvenirNextLTPro-Regula" w:hAnsi="HouseofHRAvenirNextLTPro-Regula"/>
        </w:rPr>
        <w:t>t</w:t>
      </w:r>
      <w:r w:rsidR="00A41736" w:rsidRPr="00445B99">
        <w:rPr>
          <w:rFonts w:ascii="HouseofHRAvenirNextLTPro-Regula" w:hAnsi="HouseofHRAvenirNextLTPro-Regula"/>
        </w:rPr>
        <w:t>ax</w:t>
      </w:r>
      <w:r w:rsidR="004F1DF2" w:rsidRPr="00445B99">
        <w:rPr>
          <w:rFonts w:ascii="HouseofHRAvenirNextLTPro-Regula" w:hAnsi="HouseofHRAvenirNextLTPro-Regula"/>
        </w:rPr>
        <w:t>.</w:t>
      </w:r>
      <w:r w:rsidR="00D20BD9">
        <w:rPr>
          <w:rFonts w:ascii="HouseofHRAvenirNextLTPro-Regula" w:hAnsi="HouseofHRAvenirNextLTPro-Regula"/>
        </w:rPr>
        <w:t xml:space="preserve"> </w:t>
      </w:r>
      <w:r w:rsidR="00211F2A" w:rsidRPr="00445B99">
        <w:rPr>
          <w:rFonts w:ascii="HouseofHRAvenirNextLTPro-Regula" w:hAnsi="HouseofHRAvenirNextLTPro-Regula"/>
        </w:rPr>
        <w:t>The</w:t>
      </w:r>
      <w:r w:rsidR="00E74EC9" w:rsidRPr="00445B99">
        <w:rPr>
          <w:rFonts w:ascii="HouseofHRAvenirNextLTPro-Regula" w:hAnsi="HouseofHRAvenirNextLTPro-Regula"/>
        </w:rPr>
        <w:t xml:space="preserve"> </w:t>
      </w:r>
      <w:r w:rsidR="00E368AC">
        <w:rPr>
          <w:rFonts w:ascii="HouseofHRAvenirNextLTPro-Regula" w:hAnsi="HouseofHRAvenirNextLTPro-Regula"/>
        </w:rPr>
        <w:t xml:space="preserve">locally empowered </w:t>
      </w:r>
      <w:r w:rsidR="00E74EC9" w:rsidRPr="00445B99">
        <w:rPr>
          <w:rFonts w:ascii="HouseofHRAvenirNextLTPro-Regula" w:hAnsi="HouseofHRAvenirNextLTPro-Regula"/>
        </w:rPr>
        <w:t>structure</w:t>
      </w:r>
      <w:r w:rsidR="00211F2A" w:rsidRPr="00445B99">
        <w:rPr>
          <w:rFonts w:ascii="HouseofHRAvenirNextLTPro-Regula" w:hAnsi="HouseofHRAvenirNextLTPro-Regula"/>
        </w:rPr>
        <w:t xml:space="preserve"> of House of HR</w:t>
      </w:r>
      <w:r w:rsidR="00E74EC9" w:rsidRPr="00445B99">
        <w:rPr>
          <w:rFonts w:ascii="HouseofHRAvenirNextLTPro-Regula" w:hAnsi="HouseofHRAvenirNextLTPro-Regula"/>
        </w:rPr>
        <w:t xml:space="preserve"> allows for a thorough tailor-made approach, based on the needs of the </w:t>
      </w:r>
      <w:proofErr w:type="spellStart"/>
      <w:r w:rsidR="00D23162" w:rsidRPr="00445B99">
        <w:rPr>
          <w:rFonts w:ascii="HouseofHRAvenirNextLTPro-Regula" w:hAnsi="HouseofHRAvenirNextLTPro-Regula"/>
        </w:rPr>
        <w:t>PowerHouses</w:t>
      </w:r>
      <w:proofErr w:type="spellEnd"/>
      <w:r w:rsidR="00E74EC9" w:rsidRPr="00445B99">
        <w:rPr>
          <w:rFonts w:ascii="HouseofHRAvenirNextLTPro-Regula" w:hAnsi="HouseofHRAvenirNextLTPro-Regula"/>
        </w:rPr>
        <w:t xml:space="preserve"> and Boutiques and on the expectations of stakeholders regarding </w:t>
      </w:r>
      <w:r w:rsidR="00E55F78" w:rsidRPr="00445B99">
        <w:rPr>
          <w:rFonts w:ascii="HouseofHRAvenirNextLTPro-Regula" w:hAnsi="HouseofHRAvenirNextLTPro-Regula"/>
        </w:rPr>
        <w:t>t</w:t>
      </w:r>
      <w:r w:rsidR="00E74EC9" w:rsidRPr="00445B99">
        <w:rPr>
          <w:rFonts w:ascii="HouseofHRAvenirNextLTPro-Regula" w:hAnsi="HouseofHRAvenirNextLTPro-Regula"/>
        </w:rPr>
        <w:t>ax matters</w:t>
      </w:r>
      <w:r w:rsidR="00807592" w:rsidRPr="00445B99">
        <w:rPr>
          <w:rFonts w:ascii="HouseofHRAvenirNextLTPro-Regula" w:hAnsi="HouseofHRAvenirNextLTPro-Regula"/>
        </w:rPr>
        <w:t xml:space="preserve">. </w:t>
      </w:r>
      <w:r w:rsidR="00E74EC9" w:rsidRPr="00445B99">
        <w:rPr>
          <w:rFonts w:ascii="HouseofHRAvenirNextLTPro-Regula" w:hAnsi="HouseofHRAvenirNextLTPro-Regula"/>
        </w:rPr>
        <w:t xml:space="preserve">It is up to the </w:t>
      </w:r>
      <w:proofErr w:type="spellStart"/>
      <w:r w:rsidR="00D23162" w:rsidRPr="00445B99">
        <w:rPr>
          <w:rFonts w:ascii="HouseofHRAvenirNextLTPro-Regula" w:hAnsi="HouseofHRAvenirNextLTPro-Regula"/>
        </w:rPr>
        <w:t>PowerHouses</w:t>
      </w:r>
      <w:proofErr w:type="spellEnd"/>
      <w:r w:rsidR="00E74EC9" w:rsidRPr="00445B99">
        <w:rPr>
          <w:rFonts w:ascii="HouseofHRAvenirNextLTPro-Regula" w:hAnsi="HouseofHRAvenirNextLTPro-Regula"/>
        </w:rPr>
        <w:t xml:space="preserve"> and Boutiques to further refine the </w:t>
      </w:r>
      <w:r w:rsidR="00464C60">
        <w:rPr>
          <w:rFonts w:ascii="HouseofHRAvenirNextLTPro-Regula" w:hAnsi="HouseofHRAvenirNextLTPro-Regula"/>
        </w:rPr>
        <w:t>tax policy</w:t>
      </w:r>
      <w:r w:rsidR="00E74EC9" w:rsidRPr="00445B99">
        <w:rPr>
          <w:rFonts w:ascii="HouseofHRAvenirNextLTPro-Regula" w:hAnsi="HouseofHRAvenirNextLTPro-Regula"/>
        </w:rPr>
        <w:t xml:space="preserve"> and integrate the framework into their business and day-to-day activities. </w:t>
      </w:r>
    </w:p>
    <w:p w14:paraId="69325258" w14:textId="77777777" w:rsidR="003A03EC" w:rsidRPr="00445B99" w:rsidRDefault="003A03EC" w:rsidP="003A03EC">
      <w:pPr>
        <w:autoSpaceDE w:val="0"/>
        <w:autoSpaceDN w:val="0"/>
        <w:adjustRightInd w:val="0"/>
        <w:jc w:val="both"/>
        <w:rPr>
          <w:rFonts w:ascii="HouseofHRAvenirNextLTPro-Regula" w:hAnsi="HouseofHRAvenirNextLTPro-Regula"/>
        </w:rPr>
      </w:pPr>
    </w:p>
    <w:p w14:paraId="3AB84283" w14:textId="3362B2EB" w:rsidR="00E62D63" w:rsidRPr="00445B99" w:rsidRDefault="00E62D63" w:rsidP="00E62D63">
      <w:pPr>
        <w:pStyle w:val="Kop2"/>
        <w:numPr>
          <w:ilvl w:val="0"/>
          <w:numId w:val="4"/>
        </w:numPr>
        <w:tabs>
          <w:tab w:val="num" w:pos="360"/>
        </w:tabs>
        <w:ind w:left="0" w:firstLine="0"/>
        <w:rPr>
          <w:rFonts w:ascii="HouseofHRAvenirNextLTPro-Regula" w:hAnsi="HouseofHRAvenirNextLTPro-Regula"/>
        </w:rPr>
      </w:pPr>
      <w:bookmarkStart w:id="4" w:name="_Toc172901797"/>
      <w:r w:rsidRPr="00445B99">
        <w:rPr>
          <w:rFonts w:ascii="HouseofHRAvenirNextLTPro-Regula" w:hAnsi="HouseofHRAvenirNextLTPro-Regula"/>
        </w:rPr>
        <w:t>Tax Strategy</w:t>
      </w:r>
      <w:bookmarkEnd w:id="4"/>
    </w:p>
    <w:p w14:paraId="60E347E0" w14:textId="563334DA" w:rsidR="00480C12" w:rsidRPr="00445B99" w:rsidRDefault="008A6B13" w:rsidP="003724CF">
      <w:pPr>
        <w:rPr>
          <w:rFonts w:ascii="HouseofHRAvenirNextLTPro-Regula" w:hAnsi="HouseofHRAvenirNextLTPro-Regula"/>
        </w:rPr>
      </w:pPr>
      <w:r w:rsidRPr="00445B99">
        <w:rPr>
          <w:rFonts w:ascii="HouseofHRAvenirNextLTPro-Regula" w:hAnsi="HouseofHRAvenirNextLTPro-Regula"/>
        </w:rPr>
        <w:t xml:space="preserve">House of HR recognizes the importance of responsible tax management in achieving </w:t>
      </w:r>
      <w:r w:rsidR="00C65DB0">
        <w:rPr>
          <w:rFonts w:ascii="HouseofHRAvenirNextLTPro-Regula" w:hAnsi="HouseofHRAvenirNextLTPro-Regula"/>
        </w:rPr>
        <w:t>its</w:t>
      </w:r>
      <w:r w:rsidR="00C65DB0" w:rsidRPr="00445B99">
        <w:rPr>
          <w:rFonts w:ascii="HouseofHRAvenirNextLTPro-Regula" w:hAnsi="HouseofHRAvenirNextLTPro-Regula"/>
        </w:rPr>
        <w:t xml:space="preserve"> </w:t>
      </w:r>
      <w:r w:rsidRPr="00445B99">
        <w:rPr>
          <w:rFonts w:ascii="HouseofHRAvenirNextLTPro-Regula" w:hAnsi="HouseofHRAvenirNextLTPro-Regula"/>
        </w:rPr>
        <w:t xml:space="preserve">overarching mission and vision. </w:t>
      </w:r>
      <w:r w:rsidR="00703DDF" w:rsidRPr="00445B99">
        <w:rPr>
          <w:rFonts w:ascii="HouseofHRAvenirNextLTPro-Regula" w:hAnsi="HouseofHRAvenirNextLTPro-Regula"/>
        </w:rPr>
        <w:t xml:space="preserve">The tax strategy expresses which tax goals House of HR sets for itself, based on </w:t>
      </w:r>
      <w:r w:rsidR="00AA687C">
        <w:rPr>
          <w:rFonts w:ascii="HouseofHRAvenirNextLTPro-Regula" w:hAnsi="HouseofHRAvenirNextLTPro-Regula"/>
        </w:rPr>
        <w:t>the</w:t>
      </w:r>
      <w:r w:rsidR="00AA687C" w:rsidRPr="00445B99">
        <w:rPr>
          <w:rFonts w:ascii="HouseofHRAvenirNextLTPro-Regula" w:hAnsi="HouseofHRAvenirNextLTPro-Regula"/>
        </w:rPr>
        <w:t xml:space="preserve"> </w:t>
      </w:r>
      <w:r w:rsidR="00703DDF" w:rsidRPr="00445B99">
        <w:rPr>
          <w:rFonts w:ascii="HouseofHRAvenirNextLTPro-Regula" w:hAnsi="HouseofHRAvenirNextLTPro-Regula"/>
        </w:rPr>
        <w:t xml:space="preserve">group values and principles, and how it intends to </w:t>
      </w:r>
      <w:r w:rsidR="00A433E8" w:rsidRPr="00445B99">
        <w:rPr>
          <w:rFonts w:ascii="HouseofHRAvenirNextLTPro-Regula" w:hAnsi="HouseofHRAvenirNextLTPro-Regula"/>
        </w:rPr>
        <w:t>realize</w:t>
      </w:r>
      <w:r w:rsidR="00703DDF" w:rsidRPr="00445B99">
        <w:rPr>
          <w:rFonts w:ascii="HouseofHRAvenirNextLTPro-Regula" w:hAnsi="HouseofHRAvenirNextLTPro-Regula"/>
        </w:rPr>
        <w:t xml:space="preserve"> these goals at the strategic level. </w:t>
      </w:r>
    </w:p>
    <w:p w14:paraId="37DF5490" w14:textId="77777777" w:rsidR="00480C12" w:rsidRPr="00445B99" w:rsidRDefault="00480C12" w:rsidP="003724CF">
      <w:pPr>
        <w:rPr>
          <w:rFonts w:ascii="HouseofHRAvenirNextLTPro-Regula" w:hAnsi="HouseofHRAvenirNextLTPro-Regula"/>
        </w:rPr>
      </w:pPr>
    </w:p>
    <w:p w14:paraId="0A429C4F" w14:textId="41B2029A" w:rsidR="0021772D" w:rsidRPr="001C240A" w:rsidRDefault="00BC2414" w:rsidP="001C240A">
      <w:pPr>
        <w:rPr>
          <w:rFonts w:ascii="HouseofHRAvenirNextLTPro-Regula" w:eastAsiaTheme="majorEastAsia" w:hAnsi="HouseofHRAvenirNextLTPro-Regula" w:cstheme="majorBidi"/>
          <w:b/>
          <w:bCs/>
          <w:i/>
          <w:iCs/>
          <w:color w:val="E0004D"/>
          <w:szCs w:val="26"/>
        </w:rPr>
      </w:pPr>
      <w:r w:rsidRPr="001C240A">
        <w:rPr>
          <w:rFonts w:ascii="HouseofHRAvenirNextLTPro-Regula" w:eastAsiaTheme="majorEastAsia" w:hAnsi="HouseofHRAvenirNextLTPro-Regula" w:cstheme="majorBidi"/>
          <w:b/>
          <w:bCs/>
          <w:i/>
          <w:iCs/>
          <w:color w:val="E0004D"/>
          <w:szCs w:val="26"/>
        </w:rPr>
        <w:t>Guided by</w:t>
      </w:r>
      <w:r w:rsidR="00E55C1A" w:rsidRPr="001C240A">
        <w:rPr>
          <w:rFonts w:ascii="HouseofHRAvenirNextLTPro-Regula" w:eastAsiaTheme="majorEastAsia" w:hAnsi="HouseofHRAvenirNextLTPro-Regula" w:cstheme="majorBidi"/>
          <w:b/>
          <w:bCs/>
          <w:i/>
          <w:iCs/>
          <w:color w:val="E0004D"/>
          <w:szCs w:val="26"/>
        </w:rPr>
        <w:t xml:space="preserve"> </w:t>
      </w:r>
      <w:r w:rsidR="00893E01" w:rsidRPr="001C240A">
        <w:rPr>
          <w:rFonts w:ascii="HouseofHRAvenirNextLTPro-Regula" w:eastAsiaTheme="majorEastAsia" w:hAnsi="HouseofHRAvenirNextLTPro-Regula" w:cstheme="majorBidi"/>
          <w:b/>
          <w:bCs/>
          <w:i/>
          <w:iCs/>
          <w:color w:val="E0004D"/>
          <w:szCs w:val="26"/>
        </w:rPr>
        <w:t>House of HR's values and principles, the</w:t>
      </w:r>
      <w:r w:rsidR="009D154A" w:rsidRPr="001C240A">
        <w:rPr>
          <w:rFonts w:ascii="HouseofHRAvenirNextLTPro-Regula" w:eastAsiaTheme="majorEastAsia" w:hAnsi="HouseofHRAvenirNextLTPro-Regula" w:cstheme="majorBidi"/>
          <w:b/>
          <w:bCs/>
          <w:i/>
          <w:iCs/>
          <w:color w:val="E0004D"/>
          <w:szCs w:val="26"/>
        </w:rPr>
        <w:t xml:space="preserve"> </w:t>
      </w:r>
      <w:r w:rsidR="00712A78" w:rsidRPr="001C240A">
        <w:rPr>
          <w:rFonts w:ascii="HouseofHRAvenirNextLTPro-Regula" w:eastAsiaTheme="majorEastAsia" w:hAnsi="HouseofHRAvenirNextLTPro-Regula" w:cstheme="majorBidi"/>
          <w:b/>
          <w:bCs/>
          <w:i/>
          <w:iCs/>
          <w:color w:val="E0004D"/>
          <w:szCs w:val="26"/>
        </w:rPr>
        <w:t>House of HR</w:t>
      </w:r>
      <w:r w:rsidR="00EB1061" w:rsidRPr="001C240A">
        <w:rPr>
          <w:rFonts w:ascii="HouseofHRAvenirNextLTPro-Regula" w:eastAsiaTheme="majorEastAsia" w:hAnsi="HouseofHRAvenirNextLTPro-Regula" w:cstheme="majorBidi"/>
          <w:b/>
          <w:bCs/>
          <w:i/>
          <w:iCs/>
          <w:color w:val="E0004D"/>
          <w:szCs w:val="26"/>
        </w:rPr>
        <w:t xml:space="preserve"> </w:t>
      </w:r>
      <w:r w:rsidR="009D154A" w:rsidRPr="001C240A">
        <w:rPr>
          <w:rFonts w:ascii="HouseofHRAvenirNextLTPro-Regula" w:eastAsiaTheme="majorEastAsia" w:hAnsi="HouseofHRAvenirNextLTPro-Regula" w:cstheme="majorBidi"/>
          <w:b/>
          <w:bCs/>
          <w:i/>
          <w:iCs/>
          <w:color w:val="E0004D"/>
          <w:szCs w:val="26"/>
        </w:rPr>
        <w:t>t</w:t>
      </w:r>
      <w:r w:rsidR="00E3014D" w:rsidRPr="001C240A">
        <w:rPr>
          <w:rFonts w:ascii="HouseofHRAvenirNextLTPro-Regula" w:eastAsiaTheme="majorEastAsia" w:hAnsi="HouseofHRAvenirNextLTPro-Regula" w:cstheme="majorBidi"/>
          <w:b/>
          <w:bCs/>
          <w:i/>
          <w:iCs/>
          <w:color w:val="E0004D"/>
          <w:szCs w:val="26"/>
        </w:rPr>
        <w:t>ax strategy centers on</w:t>
      </w:r>
      <w:r w:rsidR="007B4261" w:rsidRPr="001C240A">
        <w:rPr>
          <w:rFonts w:ascii="HouseofHRAvenirNextLTPro-Regula" w:eastAsiaTheme="majorEastAsia" w:hAnsi="HouseofHRAvenirNextLTPro-Regula" w:cstheme="majorBidi"/>
          <w:b/>
          <w:bCs/>
          <w:i/>
          <w:iCs/>
          <w:color w:val="E0004D"/>
          <w:szCs w:val="26"/>
        </w:rPr>
        <w:t xml:space="preserve"> responsible</w:t>
      </w:r>
      <w:r w:rsidR="00B85621" w:rsidRPr="001C240A">
        <w:rPr>
          <w:rFonts w:ascii="HouseofHRAvenirNextLTPro-Regula" w:eastAsiaTheme="majorEastAsia" w:hAnsi="HouseofHRAvenirNextLTPro-Regula" w:cstheme="majorBidi"/>
          <w:b/>
          <w:bCs/>
          <w:i/>
          <w:iCs/>
          <w:color w:val="E0004D"/>
          <w:szCs w:val="26"/>
        </w:rPr>
        <w:t xml:space="preserve"> and ethical tax practices</w:t>
      </w:r>
      <w:r w:rsidR="00D2774E" w:rsidRPr="001C240A">
        <w:rPr>
          <w:rFonts w:ascii="HouseofHRAvenirNextLTPro-Regula" w:eastAsiaTheme="majorEastAsia" w:hAnsi="HouseofHRAvenirNextLTPro-Regula" w:cstheme="majorBidi"/>
          <w:b/>
          <w:bCs/>
          <w:i/>
          <w:iCs/>
          <w:color w:val="E0004D"/>
          <w:szCs w:val="26"/>
        </w:rPr>
        <w:t xml:space="preserve"> by</w:t>
      </w:r>
      <w:r w:rsidR="0021772D" w:rsidRPr="001C240A">
        <w:rPr>
          <w:rFonts w:ascii="HouseofHRAvenirNextLTPro-Regula" w:eastAsiaTheme="majorEastAsia" w:hAnsi="HouseofHRAvenirNextLTPro-Regula" w:cstheme="majorBidi"/>
          <w:b/>
          <w:bCs/>
          <w:i/>
          <w:iCs/>
          <w:color w:val="E0004D"/>
          <w:szCs w:val="26"/>
        </w:rPr>
        <w:t xml:space="preserve"> complying with all tax laws, avoiding any form of tax evasion</w:t>
      </w:r>
      <w:r w:rsidR="00B00348" w:rsidRPr="001C240A">
        <w:rPr>
          <w:rFonts w:ascii="HouseofHRAvenirNextLTPro-Regula" w:eastAsiaTheme="majorEastAsia" w:hAnsi="HouseofHRAvenirNextLTPro-Regula" w:cstheme="majorBidi"/>
          <w:b/>
          <w:bCs/>
          <w:i/>
          <w:iCs/>
          <w:color w:val="E0004D"/>
          <w:szCs w:val="26"/>
        </w:rPr>
        <w:t xml:space="preserve"> and </w:t>
      </w:r>
      <w:r w:rsidR="00CC1B38" w:rsidRPr="001C240A">
        <w:rPr>
          <w:rFonts w:ascii="HouseofHRAvenirNextLTPro-Regula" w:eastAsiaTheme="majorEastAsia" w:hAnsi="HouseofHRAvenirNextLTPro-Regula" w:cstheme="majorBidi"/>
          <w:b/>
          <w:bCs/>
          <w:i/>
          <w:iCs/>
          <w:color w:val="E0004D"/>
          <w:szCs w:val="26"/>
        </w:rPr>
        <w:t>its</w:t>
      </w:r>
      <w:r w:rsidR="00B00348" w:rsidRPr="001C240A">
        <w:rPr>
          <w:rFonts w:ascii="HouseofHRAvenirNextLTPro-Regula" w:eastAsiaTheme="majorEastAsia" w:hAnsi="HouseofHRAvenirNextLTPro-Regula" w:cstheme="majorBidi"/>
          <w:b/>
          <w:bCs/>
          <w:i/>
          <w:iCs/>
          <w:color w:val="E0004D"/>
          <w:szCs w:val="26"/>
        </w:rPr>
        <w:t xml:space="preserve"> pledge to pay a fair </w:t>
      </w:r>
      <w:r w:rsidR="00374F2F" w:rsidRPr="001C240A">
        <w:rPr>
          <w:rFonts w:ascii="HouseofHRAvenirNextLTPro-Regula" w:eastAsiaTheme="majorEastAsia" w:hAnsi="HouseofHRAvenirNextLTPro-Regula" w:cstheme="majorBidi"/>
          <w:b/>
          <w:bCs/>
          <w:i/>
          <w:iCs/>
          <w:color w:val="E0004D"/>
          <w:szCs w:val="26"/>
        </w:rPr>
        <w:t>share.</w:t>
      </w:r>
    </w:p>
    <w:p w14:paraId="58C12244" w14:textId="77777777" w:rsidR="009B5371" w:rsidRPr="00445B99" w:rsidRDefault="009B5371" w:rsidP="00111AE3">
      <w:pPr>
        <w:rPr>
          <w:rFonts w:ascii="HouseofHRAvenirNextLTPro-Regula" w:hAnsi="HouseofHRAvenirNextLTPro-Regula"/>
        </w:rPr>
      </w:pPr>
    </w:p>
    <w:p w14:paraId="0BEA3B27" w14:textId="55D298AF" w:rsidR="00111AE3" w:rsidRPr="00445B99" w:rsidRDefault="00111AE3" w:rsidP="00111AE3">
      <w:pPr>
        <w:rPr>
          <w:rFonts w:ascii="HouseofHRAvenirNextLTPro-Regula" w:hAnsi="HouseofHRAvenirNextLTPro-Regula"/>
        </w:rPr>
      </w:pPr>
      <w:r w:rsidRPr="00445B99">
        <w:rPr>
          <w:rFonts w:ascii="HouseofHRAvenirNextLTPro-Regula" w:hAnsi="HouseofHRAvenirNextLTPro-Regula"/>
        </w:rPr>
        <w:t xml:space="preserve">Achieving this tax </w:t>
      </w:r>
      <w:r w:rsidR="009B5371" w:rsidRPr="00445B99">
        <w:rPr>
          <w:rFonts w:ascii="HouseofHRAvenirNextLTPro-Regula" w:hAnsi="HouseofHRAvenirNextLTPro-Regula"/>
        </w:rPr>
        <w:t>strategy</w:t>
      </w:r>
      <w:r w:rsidRPr="00445B99">
        <w:rPr>
          <w:rFonts w:ascii="HouseofHRAvenirNextLTPro-Regula" w:hAnsi="HouseofHRAvenirNextLTPro-Regula"/>
        </w:rPr>
        <w:t xml:space="preserve"> is based on the following </w:t>
      </w:r>
      <w:r w:rsidR="00872F5A">
        <w:rPr>
          <w:rFonts w:ascii="HouseofHRAvenirNextLTPro-Regula" w:hAnsi="HouseofHRAvenirNextLTPro-Regula"/>
        </w:rPr>
        <w:t>set of principles</w:t>
      </w:r>
      <w:r w:rsidRPr="00445B99">
        <w:rPr>
          <w:rFonts w:ascii="HouseofHRAvenirNextLTPro-Regula" w:hAnsi="HouseofHRAvenirNextLTPro-Regula"/>
        </w:rPr>
        <w:t>:</w:t>
      </w:r>
    </w:p>
    <w:p w14:paraId="33EBF7CC" w14:textId="77777777" w:rsidR="00111AE3" w:rsidRPr="00445B99" w:rsidRDefault="00111AE3" w:rsidP="00111AE3">
      <w:pPr>
        <w:autoSpaceDE w:val="0"/>
        <w:autoSpaceDN w:val="0"/>
        <w:adjustRightInd w:val="0"/>
        <w:spacing w:line="240" w:lineRule="auto"/>
        <w:rPr>
          <w:rFonts w:ascii="HouseofHRAvenirNextLTPro-Regula" w:hAnsi="HouseofHRAvenirNextLTPro-Regula" w:cs="Arial"/>
          <w:color w:val="000000" w:themeColor="text1"/>
          <w:sz w:val="24"/>
        </w:rPr>
      </w:pPr>
    </w:p>
    <w:p w14:paraId="5BA64198" w14:textId="32662076" w:rsidR="001B31D9" w:rsidRPr="00445B99" w:rsidRDefault="00111AE3" w:rsidP="002E1739">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Compliance with Tax Laws:</w:t>
      </w:r>
      <w:r w:rsidRPr="00445B99">
        <w:rPr>
          <w:rFonts w:ascii="HouseofHRAvenirNextLTPro-Regula" w:eastAsia="Times New Roman" w:hAnsi="HouseofHRAvenirNextLTPro-Regula" w:cs="Arial"/>
          <w:sz w:val="18"/>
          <w:szCs w:val="18"/>
          <w:lang w:val="en-US"/>
        </w:rPr>
        <w:t xml:space="preserve"> House of HR is committed to fully complying with all relevant tax laws and regulations</w:t>
      </w:r>
      <w:r w:rsidR="00537A32" w:rsidRPr="00445B99">
        <w:rPr>
          <w:rFonts w:ascii="HouseofHRAvenirNextLTPro-Regula" w:eastAsia="Times New Roman" w:hAnsi="HouseofHRAvenirNextLTPro-Regula" w:cs="Arial"/>
          <w:sz w:val="18"/>
          <w:szCs w:val="18"/>
          <w:lang w:val="en-US"/>
        </w:rPr>
        <w:t xml:space="preserve"> at all times.</w:t>
      </w:r>
    </w:p>
    <w:p w14:paraId="1B8FC6B4" w14:textId="77777777" w:rsidR="00FC5C40" w:rsidRPr="00445B99" w:rsidRDefault="00FC5C40" w:rsidP="00FC5C40">
      <w:pPr>
        <w:pStyle w:val="Lijstalinea"/>
        <w:rPr>
          <w:rFonts w:ascii="HouseofHRAvenirNextLTPro-Regula" w:eastAsia="Times New Roman" w:hAnsi="HouseofHRAvenirNextLTPro-Regula" w:cs="Arial"/>
          <w:sz w:val="18"/>
          <w:szCs w:val="18"/>
          <w:lang w:val="en-US"/>
        </w:rPr>
      </w:pPr>
    </w:p>
    <w:p w14:paraId="0A452132" w14:textId="4727C1D0" w:rsidR="00111AE3" w:rsidRPr="00445B99" w:rsidRDefault="00111AE3" w:rsidP="00111AE3">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Fair Share Contribution:</w:t>
      </w:r>
      <w:r w:rsidRPr="00445B99">
        <w:rPr>
          <w:rFonts w:ascii="HouseofHRAvenirNextLTPro-Regula" w:eastAsia="Times New Roman" w:hAnsi="HouseofHRAvenirNextLTPro-Regula" w:cs="Arial"/>
          <w:sz w:val="18"/>
          <w:szCs w:val="18"/>
          <w:lang w:val="en-US"/>
        </w:rPr>
        <w:t xml:space="preserve"> </w:t>
      </w:r>
      <w:r w:rsidR="00893E01" w:rsidRPr="00445B99">
        <w:rPr>
          <w:rFonts w:ascii="HouseofHRAvenirNextLTPro-Regula" w:eastAsia="Times New Roman" w:hAnsi="HouseofHRAvenirNextLTPro-Regula" w:cs="Arial"/>
          <w:sz w:val="18"/>
          <w:szCs w:val="18"/>
          <w:lang w:val="en-US"/>
        </w:rPr>
        <w:t>House of HR</w:t>
      </w:r>
      <w:r w:rsidRPr="00445B99">
        <w:rPr>
          <w:rFonts w:ascii="HouseofHRAvenirNextLTPro-Regula" w:eastAsia="Times New Roman" w:hAnsi="HouseofHRAvenirNextLTPro-Regula" w:cs="Arial"/>
          <w:sz w:val="18"/>
          <w:szCs w:val="18"/>
          <w:lang w:val="en-US"/>
        </w:rPr>
        <w:t xml:space="preserve"> recognizes its responsibility to contribute its fair share of taxes to support public services, infrastructure, and social programs. </w:t>
      </w:r>
      <w:r w:rsidR="00AA687C">
        <w:rPr>
          <w:rFonts w:ascii="HouseofHRAvenirNextLTPro-Regula" w:eastAsia="Times New Roman" w:hAnsi="HouseofHRAvenirNextLTPro-Regula" w:cs="Arial"/>
          <w:sz w:val="18"/>
          <w:szCs w:val="18"/>
          <w:lang w:val="en-US"/>
        </w:rPr>
        <w:t>House of HR</w:t>
      </w:r>
      <w:r w:rsidRPr="00445B99">
        <w:rPr>
          <w:rFonts w:ascii="HouseofHRAvenirNextLTPro-Regula" w:eastAsia="Times New Roman" w:hAnsi="HouseofHRAvenirNextLTPro-Regula" w:cs="Arial"/>
          <w:sz w:val="18"/>
          <w:szCs w:val="18"/>
          <w:lang w:val="en-US"/>
        </w:rPr>
        <w:t xml:space="preserve"> will not engage in tax evasion or aggressive tax avoidance schemes. </w:t>
      </w:r>
    </w:p>
    <w:p w14:paraId="19173A42" w14:textId="77777777" w:rsidR="00111AE3" w:rsidRPr="00445B99" w:rsidRDefault="00111AE3" w:rsidP="00111AE3">
      <w:pPr>
        <w:pStyle w:val="Lijstalinea"/>
        <w:rPr>
          <w:rFonts w:ascii="HouseofHRAvenirNextLTPro-Regula" w:eastAsia="Times New Roman" w:hAnsi="HouseofHRAvenirNextLTPro-Regula" w:cs="Arial"/>
          <w:sz w:val="18"/>
          <w:szCs w:val="18"/>
          <w:lang w:val="en-US"/>
        </w:rPr>
      </w:pPr>
    </w:p>
    <w:p w14:paraId="2B22A735" w14:textId="7F1D7BBF" w:rsidR="00111AE3" w:rsidRPr="00445B99" w:rsidRDefault="00111AE3" w:rsidP="00111AE3">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Minimizing Tax Liability:</w:t>
      </w:r>
      <w:r w:rsidRPr="00445B99">
        <w:rPr>
          <w:rFonts w:ascii="HouseofHRAvenirNextLTPro-Regula" w:eastAsia="Times New Roman" w:hAnsi="HouseofHRAvenirNextLTPro-Regula" w:cs="Arial"/>
          <w:sz w:val="18"/>
          <w:szCs w:val="18"/>
          <w:lang w:val="en-US"/>
        </w:rPr>
        <w:t xml:space="preserve"> While maintaining strict compliance, </w:t>
      </w:r>
      <w:r w:rsidR="00893E01" w:rsidRPr="00445B99">
        <w:rPr>
          <w:rFonts w:ascii="HouseofHRAvenirNextLTPro-Regula" w:eastAsia="Times New Roman" w:hAnsi="HouseofHRAvenirNextLTPro-Regula" w:cs="Arial"/>
          <w:sz w:val="18"/>
          <w:szCs w:val="18"/>
          <w:lang w:val="en-US"/>
        </w:rPr>
        <w:t>House of HR</w:t>
      </w:r>
      <w:r w:rsidRPr="00445B99">
        <w:rPr>
          <w:rFonts w:ascii="HouseofHRAvenirNextLTPro-Regula" w:eastAsia="Times New Roman" w:hAnsi="HouseofHRAvenirNextLTPro-Regula" w:cs="Arial"/>
          <w:sz w:val="18"/>
          <w:szCs w:val="18"/>
          <w:lang w:val="en-US"/>
        </w:rPr>
        <w:t xml:space="preserve"> will make use of legitimate tax incentives, deductions, and credits.</w:t>
      </w:r>
    </w:p>
    <w:p w14:paraId="6B755CB1" w14:textId="77777777" w:rsidR="00111AE3" w:rsidRPr="00445B99" w:rsidRDefault="00111AE3" w:rsidP="00111AE3">
      <w:pPr>
        <w:pStyle w:val="Lijstalinea"/>
        <w:rPr>
          <w:rFonts w:ascii="HouseofHRAvenirNextLTPro-Regula" w:eastAsia="Times New Roman" w:hAnsi="HouseofHRAvenirNextLTPro-Regula" w:cs="Arial"/>
          <w:sz w:val="18"/>
          <w:szCs w:val="18"/>
          <w:lang w:val="en-US"/>
        </w:rPr>
      </w:pPr>
    </w:p>
    <w:p w14:paraId="1071D43C" w14:textId="5B4321BA" w:rsidR="00111AE3" w:rsidRPr="00445B99" w:rsidRDefault="00111AE3" w:rsidP="00111AE3">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lastRenderedPageBreak/>
        <w:t>Collaboration with Tax Authorities:</w:t>
      </w:r>
      <w:r w:rsidRPr="00445B99">
        <w:rPr>
          <w:rFonts w:ascii="HouseofHRAvenirNextLTPro-Regula" w:eastAsia="Times New Roman" w:hAnsi="HouseofHRAvenirNextLTPro-Regula" w:cs="Arial"/>
          <w:sz w:val="18"/>
          <w:szCs w:val="18"/>
          <w:lang w:val="en-US"/>
        </w:rPr>
        <w:t xml:space="preserve"> </w:t>
      </w:r>
      <w:r w:rsidR="00893E01" w:rsidRPr="00445B99">
        <w:rPr>
          <w:rFonts w:ascii="HouseofHRAvenirNextLTPro-Regula" w:eastAsia="Times New Roman" w:hAnsi="HouseofHRAvenirNextLTPro-Regula" w:cs="Arial"/>
          <w:sz w:val="18"/>
          <w:szCs w:val="18"/>
          <w:lang w:val="en-US"/>
        </w:rPr>
        <w:t>House of HR</w:t>
      </w:r>
      <w:r w:rsidRPr="00445B99">
        <w:rPr>
          <w:rFonts w:ascii="HouseofHRAvenirNextLTPro-Regula" w:eastAsia="Times New Roman" w:hAnsi="HouseofHRAvenirNextLTPro-Regula" w:cs="Arial"/>
          <w:sz w:val="18"/>
          <w:szCs w:val="18"/>
          <w:lang w:val="en-US"/>
        </w:rPr>
        <w:t xml:space="preserve"> intent</w:t>
      </w:r>
      <w:r w:rsidR="00893E01" w:rsidRPr="00445B99">
        <w:rPr>
          <w:rFonts w:ascii="HouseofHRAvenirNextLTPro-Regula" w:eastAsia="Times New Roman" w:hAnsi="HouseofHRAvenirNextLTPro-Regula" w:cs="Arial"/>
          <w:sz w:val="18"/>
          <w:szCs w:val="18"/>
          <w:lang w:val="en-US"/>
        </w:rPr>
        <w:t>s</w:t>
      </w:r>
      <w:r w:rsidRPr="00445B99">
        <w:rPr>
          <w:rFonts w:ascii="HouseofHRAvenirNextLTPro-Regula" w:eastAsia="Times New Roman" w:hAnsi="HouseofHRAvenirNextLTPro-Regula" w:cs="Arial"/>
          <w:sz w:val="18"/>
          <w:szCs w:val="18"/>
          <w:lang w:val="en-US"/>
        </w:rPr>
        <w:t xml:space="preserve"> to foster open, proactive, and cooperative relationships with the tax authorities. </w:t>
      </w:r>
      <w:r w:rsidR="00AA687C">
        <w:rPr>
          <w:rFonts w:ascii="HouseofHRAvenirNextLTPro-Regula" w:eastAsia="Times New Roman" w:hAnsi="HouseofHRAvenirNextLTPro-Regula" w:cs="Arial"/>
          <w:sz w:val="18"/>
          <w:szCs w:val="18"/>
          <w:lang w:val="en-US"/>
        </w:rPr>
        <w:t>House of HR</w:t>
      </w:r>
      <w:r w:rsidR="00AA687C" w:rsidRPr="00445B99">
        <w:rPr>
          <w:rFonts w:ascii="HouseofHRAvenirNextLTPro-Regula" w:eastAsia="Times New Roman" w:hAnsi="HouseofHRAvenirNextLTPro-Regula" w:cs="Arial"/>
          <w:sz w:val="18"/>
          <w:szCs w:val="18"/>
          <w:lang w:val="en-US"/>
        </w:rPr>
        <w:t xml:space="preserve"> </w:t>
      </w:r>
      <w:r w:rsidRPr="00445B99">
        <w:rPr>
          <w:rFonts w:ascii="HouseofHRAvenirNextLTPro-Regula" w:eastAsia="Times New Roman" w:hAnsi="HouseofHRAvenirNextLTPro-Regula" w:cs="Arial"/>
          <w:sz w:val="18"/>
          <w:szCs w:val="18"/>
          <w:lang w:val="en-US"/>
        </w:rPr>
        <w:t>will respond promptly to inquiries and provide the requested information.</w:t>
      </w:r>
    </w:p>
    <w:p w14:paraId="79E7C4DB" w14:textId="77777777" w:rsidR="00111AE3" w:rsidRPr="00445B99" w:rsidRDefault="00111AE3" w:rsidP="00111AE3">
      <w:pPr>
        <w:pStyle w:val="Lijstalinea"/>
        <w:rPr>
          <w:rFonts w:ascii="HouseofHRAvenirNextLTPro-Regula" w:eastAsia="Times New Roman" w:hAnsi="HouseofHRAvenirNextLTPro-Regula" w:cs="Arial"/>
          <w:sz w:val="18"/>
          <w:szCs w:val="18"/>
          <w:lang w:val="en-US"/>
        </w:rPr>
      </w:pPr>
    </w:p>
    <w:p w14:paraId="007B7130" w14:textId="25301834" w:rsidR="00072CE2" w:rsidRPr="00B3193E" w:rsidRDefault="00111AE3" w:rsidP="00B3193E">
      <w:pPr>
        <w:pStyle w:val="Lijstalinea"/>
        <w:numPr>
          <w:ilvl w:val="0"/>
          <w:numId w:val="7"/>
        </w:numPr>
        <w:rPr>
          <w:rFonts w:ascii="HouseofHRAvenirNextLTPro-Regula" w:eastAsia="Times New Roman" w:hAnsi="HouseofHRAvenirNextLTPro-Regula" w:cs="Arial"/>
          <w:szCs w:val="18"/>
        </w:rPr>
      </w:pPr>
      <w:r w:rsidRPr="00445B99">
        <w:rPr>
          <w:rFonts w:ascii="HouseofHRAvenirNextLTPro-Regula" w:eastAsia="Times New Roman" w:hAnsi="HouseofHRAvenirNextLTPro-Regula" w:cs="HouseofHRAvenirNextLTPro-Regula"/>
          <w:b/>
          <w:bCs/>
          <w:color w:val="1E1246"/>
          <w:sz w:val="18"/>
          <w:szCs w:val="18"/>
          <w14:ligatures w14:val="standardContextual"/>
        </w:rPr>
        <w:t>Transparency:</w:t>
      </w:r>
      <w:r w:rsidRPr="00445B99">
        <w:rPr>
          <w:rFonts w:ascii="HouseofHRAvenirNextLTPro-Regula" w:eastAsia="Times New Roman" w:hAnsi="HouseofHRAvenirNextLTPro-Regula" w:cs="Arial"/>
          <w:sz w:val="18"/>
          <w:szCs w:val="18"/>
          <w:lang w:val="en-US"/>
        </w:rPr>
        <w:t xml:space="preserve"> </w:t>
      </w:r>
      <w:r w:rsidR="00893E01" w:rsidRPr="00445B99">
        <w:rPr>
          <w:rFonts w:ascii="HouseofHRAvenirNextLTPro-Regula" w:eastAsia="Times New Roman" w:hAnsi="HouseofHRAvenirNextLTPro-Regula" w:cs="Arial"/>
          <w:sz w:val="18"/>
          <w:szCs w:val="18"/>
          <w:lang w:val="en-US"/>
        </w:rPr>
        <w:t xml:space="preserve">House of HR </w:t>
      </w:r>
      <w:r w:rsidR="00703DDF" w:rsidRPr="00445B99">
        <w:rPr>
          <w:rFonts w:ascii="HouseofHRAvenirNextLTPro-Regula" w:eastAsia="Times New Roman" w:hAnsi="HouseofHRAvenirNextLTPro-Regula" w:cs="Arial"/>
          <w:sz w:val="18"/>
          <w:szCs w:val="18"/>
          <w:lang w:val="en-US"/>
        </w:rPr>
        <w:t>i</w:t>
      </w:r>
      <w:r w:rsidR="00893E01" w:rsidRPr="00445B99">
        <w:rPr>
          <w:rFonts w:ascii="HouseofHRAvenirNextLTPro-Regula" w:eastAsia="Times New Roman" w:hAnsi="HouseofHRAvenirNextLTPro-Regula" w:cs="Arial"/>
          <w:sz w:val="18"/>
          <w:szCs w:val="18"/>
          <w:lang w:val="en-US"/>
        </w:rPr>
        <w:t>s</w:t>
      </w:r>
      <w:r w:rsidRPr="00445B99">
        <w:rPr>
          <w:rFonts w:ascii="HouseofHRAvenirNextLTPro-Regula" w:eastAsia="Times New Roman" w:hAnsi="HouseofHRAvenirNextLTPro-Regula" w:cs="Arial"/>
          <w:sz w:val="18"/>
          <w:szCs w:val="18"/>
          <w:lang w:val="en-US"/>
        </w:rPr>
        <w:t xml:space="preserve"> dedicated to maintaining transparency in </w:t>
      </w:r>
      <w:r w:rsidR="00C65DB0">
        <w:rPr>
          <w:rFonts w:ascii="HouseofHRAvenirNextLTPro-Regula" w:eastAsia="Times New Roman" w:hAnsi="HouseofHRAvenirNextLTPro-Regula" w:cs="Arial"/>
          <w:sz w:val="18"/>
          <w:szCs w:val="18"/>
          <w:lang w:val="en-US"/>
        </w:rPr>
        <w:t>its</w:t>
      </w:r>
      <w:r w:rsidR="00C65DB0" w:rsidRPr="00445B99">
        <w:rPr>
          <w:rFonts w:ascii="HouseofHRAvenirNextLTPro-Regula" w:eastAsia="Times New Roman" w:hAnsi="HouseofHRAvenirNextLTPro-Regula" w:cs="Arial"/>
          <w:sz w:val="18"/>
          <w:szCs w:val="18"/>
          <w:lang w:val="en-US"/>
        </w:rPr>
        <w:t xml:space="preserve"> </w:t>
      </w:r>
      <w:r w:rsidRPr="00445B99">
        <w:rPr>
          <w:rFonts w:ascii="HouseofHRAvenirNextLTPro-Regula" w:eastAsia="Times New Roman" w:hAnsi="HouseofHRAvenirNextLTPro-Regula" w:cs="Arial"/>
          <w:sz w:val="18"/>
          <w:szCs w:val="18"/>
          <w:lang w:val="en-US"/>
        </w:rPr>
        <w:t xml:space="preserve">financial dealings, ensuring that </w:t>
      </w:r>
      <w:r w:rsidR="00072CE2">
        <w:rPr>
          <w:rFonts w:ascii="HouseofHRAvenirNextLTPro-Regula" w:eastAsia="Times New Roman" w:hAnsi="HouseofHRAvenirNextLTPro-Regula" w:cs="Arial"/>
          <w:sz w:val="18"/>
          <w:szCs w:val="18"/>
          <w:lang w:val="en-US"/>
        </w:rPr>
        <w:t>its</w:t>
      </w:r>
      <w:r w:rsidR="00072CE2" w:rsidRPr="00445B99">
        <w:rPr>
          <w:rFonts w:ascii="HouseofHRAvenirNextLTPro-Regula" w:eastAsia="Times New Roman" w:hAnsi="HouseofHRAvenirNextLTPro-Regula" w:cs="Arial"/>
          <w:sz w:val="18"/>
          <w:szCs w:val="18"/>
          <w:lang w:val="en-US"/>
        </w:rPr>
        <w:t xml:space="preserve"> </w:t>
      </w:r>
      <w:r w:rsidRPr="00445B99">
        <w:rPr>
          <w:rFonts w:ascii="HouseofHRAvenirNextLTPro-Regula" w:eastAsia="Times New Roman" w:hAnsi="HouseofHRAvenirNextLTPro-Regula" w:cs="Arial"/>
          <w:sz w:val="18"/>
          <w:szCs w:val="18"/>
          <w:lang w:val="en-US"/>
        </w:rPr>
        <w:t>tax reporting is accurate, complete, and in accordance with applicable laws.</w:t>
      </w:r>
    </w:p>
    <w:p w14:paraId="5406983E" w14:textId="77777777" w:rsidR="00111AE3" w:rsidRPr="00445B99" w:rsidRDefault="00111AE3" w:rsidP="00111AE3">
      <w:pPr>
        <w:pStyle w:val="Lijstalinea"/>
        <w:rPr>
          <w:rFonts w:ascii="HouseofHRAvenirNextLTPro-Regula" w:eastAsia="Times New Roman" w:hAnsi="HouseofHRAvenirNextLTPro-Regula" w:cs="Arial"/>
          <w:sz w:val="18"/>
          <w:szCs w:val="18"/>
          <w:lang w:val="en-US"/>
        </w:rPr>
      </w:pPr>
    </w:p>
    <w:p w14:paraId="544A246B" w14:textId="6DC7751D" w:rsidR="002E1739" w:rsidRPr="00445B99" w:rsidRDefault="002E1739" w:rsidP="00111AE3">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Support:</w:t>
      </w:r>
      <w:r w:rsidRPr="00445B99">
        <w:rPr>
          <w:rFonts w:ascii="HouseofHRAvenirNextLTPro-Regula" w:eastAsia="Times New Roman" w:hAnsi="HouseofHRAvenirNextLTPro-Regula" w:cs="Arial"/>
          <w:sz w:val="18"/>
          <w:szCs w:val="18"/>
          <w:lang w:val="en-US"/>
        </w:rPr>
        <w:t xml:space="preserve"> </w:t>
      </w:r>
      <w:r w:rsidR="00072CE2">
        <w:rPr>
          <w:rFonts w:ascii="HouseofHRAvenirNextLTPro-Regula" w:eastAsia="Times New Roman" w:hAnsi="HouseofHRAvenirNextLTPro-Regula" w:cs="Arial"/>
          <w:sz w:val="18"/>
          <w:szCs w:val="18"/>
          <w:lang w:val="en-US"/>
        </w:rPr>
        <w:t xml:space="preserve">House of HR </w:t>
      </w:r>
      <w:r w:rsidRPr="00445B99">
        <w:rPr>
          <w:rFonts w:ascii="HouseofHRAvenirNextLTPro-Regula" w:eastAsia="Times New Roman" w:hAnsi="HouseofHRAvenirNextLTPro-Regula" w:cs="Arial"/>
          <w:sz w:val="18"/>
          <w:szCs w:val="18"/>
          <w:lang w:val="en-US"/>
        </w:rPr>
        <w:t xml:space="preserve">Group Tax supports the </w:t>
      </w:r>
      <w:proofErr w:type="spellStart"/>
      <w:r w:rsidR="00D23162" w:rsidRPr="00445B99">
        <w:rPr>
          <w:rFonts w:ascii="HouseofHRAvenirNextLTPro-Regula" w:eastAsia="Times New Roman" w:hAnsi="HouseofHRAvenirNextLTPro-Regula" w:cs="Arial"/>
          <w:sz w:val="18"/>
          <w:szCs w:val="18"/>
          <w:lang w:val="en-US"/>
        </w:rPr>
        <w:t>PowerHouses</w:t>
      </w:r>
      <w:proofErr w:type="spellEnd"/>
      <w:r w:rsidR="0014722E" w:rsidRPr="00445B99">
        <w:rPr>
          <w:rFonts w:ascii="HouseofHRAvenirNextLTPro-Regula" w:eastAsia="Times New Roman" w:hAnsi="HouseofHRAvenirNextLTPro-Regula" w:cs="Arial"/>
          <w:sz w:val="18"/>
          <w:szCs w:val="18"/>
          <w:lang w:val="en-US"/>
        </w:rPr>
        <w:t xml:space="preserve"> and boutiques</w:t>
      </w:r>
      <w:r w:rsidRPr="00445B99">
        <w:rPr>
          <w:rFonts w:ascii="HouseofHRAvenirNextLTPro-Regula" w:eastAsia="Times New Roman" w:hAnsi="HouseofHRAvenirNextLTPro-Regula" w:cs="Arial"/>
          <w:sz w:val="18"/>
          <w:szCs w:val="18"/>
          <w:lang w:val="en-US"/>
        </w:rPr>
        <w:t xml:space="preserve"> with correct and timely advice.</w:t>
      </w:r>
    </w:p>
    <w:p w14:paraId="3B63FB48" w14:textId="77777777" w:rsidR="002E1739" w:rsidRPr="00445B99" w:rsidRDefault="002E1739" w:rsidP="002E1739">
      <w:pPr>
        <w:pStyle w:val="Lijstalinea"/>
        <w:rPr>
          <w:rFonts w:ascii="HouseofHRAvenirNextLTPro-Regula" w:eastAsia="Times New Roman" w:hAnsi="HouseofHRAvenirNextLTPro-Regula" w:cs="Arial"/>
          <w:sz w:val="18"/>
          <w:szCs w:val="18"/>
          <w:lang w:val="en-US"/>
        </w:rPr>
      </w:pPr>
    </w:p>
    <w:p w14:paraId="1C0B5FE3" w14:textId="325BA47A" w:rsidR="00111AE3" w:rsidRPr="00445B99" w:rsidRDefault="00111AE3" w:rsidP="00111AE3">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Employee Education:</w:t>
      </w:r>
      <w:r w:rsidRPr="00445B99">
        <w:rPr>
          <w:rFonts w:ascii="HouseofHRAvenirNextLTPro-Regula" w:eastAsia="Times New Roman" w:hAnsi="HouseofHRAvenirNextLTPro-Regula" w:cs="Arial"/>
          <w:sz w:val="18"/>
          <w:szCs w:val="18"/>
          <w:lang w:val="en-US"/>
        </w:rPr>
        <w:t xml:space="preserve"> </w:t>
      </w:r>
      <w:r w:rsidR="00072CE2">
        <w:rPr>
          <w:rFonts w:ascii="HouseofHRAvenirNextLTPro-Regula" w:eastAsia="Times New Roman" w:hAnsi="HouseofHRAvenirNextLTPro-Regula" w:cs="Arial"/>
          <w:sz w:val="18"/>
          <w:szCs w:val="18"/>
          <w:lang w:val="en-US"/>
        </w:rPr>
        <w:t xml:space="preserve"> House of HR </w:t>
      </w:r>
      <w:r w:rsidR="00893E01" w:rsidRPr="00445B99">
        <w:rPr>
          <w:rFonts w:ascii="HouseofHRAvenirNextLTPro-Regula" w:eastAsia="Times New Roman" w:hAnsi="HouseofHRAvenirNextLTPro-Regula" w:cs="Arial"/>
          <w:sz w:val="18"/>
          <w:szCs w:val="18"/>
          <w:lang w:val="en-US"/>
        </w:rPr>
        <w:t>Group Tax</w:t>
      </w:r>
      <w:r w:rsidRPr="00445B99">
        <w:rPr>
          <w:rFonts w:ascii="HouseofHRAvenirNextLTPro-Regula" w:eastAsia="Times New Roman" w:hAnsi="HouseofHRAvenirNextLTPro-Regula" w:cs="Arial"/>
          <w:sz w:val="18"/>
          <w:szCs w:val="18"/>
          <w:lang w:val="en-US"/>
        </w:rPr>
        <w:t xml:space="preserve"> will educate </w:t>
      </w:r>
      <w:r w:rsidR="00893E01" w:rsidRPr="00445B99">
        <w:rPr>
          <w:rFonts w:ascii="HouseofHRAvenirNextLTPro-Regula" w:eastAsia="Times New Roman" w:hAnsi="HouseofHRAvenirNextLTPro-Regula" w:cs="Arial"/>
          <w:sz w:val="18"/>
          <w:szCs w:val="18"/>
          <w:lang w:val="en-US"/>
        </w:rPr>
        <w:t>the</w:t>
      </w:r>
      <w:r w:rsidRPr="00445B99">
        <w:rPr>
          <w:rFonts w:ascii="HouseofHRAvenirNextLTPro-Regula" w:eastAsia="Times New Roman" w:hAnsi="HouseofHRAvenirNextLTPro-Regula" w:cs="Arial"/>
          <w:sz w:val="18"/>
          <w:szCs w:val="18"/>
          <w:lang w:val="en-US"/>
        </w:rPr>
        <w:t xml:space="preserve"> </w:t>
      </w:r>
      <w:r w:rsidR="00117D9D" w:rsidRPr="00445B99">
        <w:rPr>
          <w:rFonts w:ascii="HouseofHRAvenirNextLTPro-Regula" w:eastAsia="Times New Roman" w:hAnsi="HouseofHRAvenirNextLTPro-Regula" w:cs="Arial"/>
          <w:sz w:val="18"/>
          <w:szCs w:val="18"/>
          <w:lang w:val="en-US"/>
        </w:rPr>
        <w:t>tax responsible</w:t>
      </w:r>
      <w:r w:rsidR="00893E01" w:rsidRPr="00445B99">
        <w:rPr>
          <w:rFonts w:ascii="HouseofHRAvenirNextLTPro-Regula" w:eastAsia="Times New Roman" w:hAnsi="HouseofHRAvenirNextLTPro-Regula" w:cs="Arial"/>
          <w:sz w:val="18"/>
          <w:szCs w:val="18"/>
          <w:lang w:val="en-US"/>
        </w:rPr>
        <w:t xml:space="preserve"> </w:t>
      </w:r>
      <w:r w:rsidRPr="00445B99">
        <w:rPr>
          <w:rFonts w:ascii="HouseofHRAvenirNextLTPro-Regula" w:eastAsia="Times New Roman" w:hAnsi="HouseofHRAvenirNextLTPro-Regula" w:cs="Arial"/>
          <w:sz w:val="18"/>
          <w:szCs w:val="18"/>
          <w:lang w:val="en-US"/>
        </w:rPr>
        <w:t xml:space="preserve">employees on the importance of tax compliance and ethical tax practices. </w:t>
      </w:r>
    </w:p>
    <w:p w14:paraId="7B6A4760" w14:textId="77777777" w:rsidR="00111AE3" w:rsidRPr="00445B99" w:rsidRDefault="00111AE3" w:rsidP="00111AE3">
      <w:pPr>
        <w:pStyle w:val="Lijstalinea"/>
        <w:rPr>
          <w:rFonts w:ascii="HouseofHRAvenirNextLTPro-Regula" w:eastAsia="Times New Roman" w:hAnsi="HouseofHRAvenirNextLTPro-Regula"/>
          <w:sz w:val="18"/>
          <w:szCs w:val="18"/>
          <w:lang w:val="en-US"/>
        </w:rPr>
      </w:pPr>
    </w:p>
    <w:p w14:paraId="37412BC1" w14:textId="0A56C5CD" w:rsidR="00111AE3" w:rsidRPr="00445B99" w:rsidRDefault="00703DDF" w:rsidP="00111AE3">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Tax Control Framework</w:t>
      </w:r>
      <w:r w:rsidR="00111AE3" w:rsidRPr="00445B99">
        <w:rPr>
          <w:rFonts w:ascii="HouseofHRAvenirNextLTPro-Regula" w:eastAsia="Times New Roman" w:hAnsi="HouseofHRAvenirNextLTPro-Regula" w:cs="HouseofHRAvenirNextLTPro-Regula"/>
          <w:b/>
          <w:bCs/>
          <w:color w:val="1E1246"/>
          <w:sz w:val="18"/>
          <w:szCs w:val="18"/>
          <w14:ligatures w14:val="standardContextual"/>
        </w:rPr>
        <w:t>:</w:t>
      </w:r>
      <w:r w:rsidR="00111AE3" w:rsidRPr="00445B99">
        <w:rPr>
          <w:rFonts w:ascii="HouseofHRAvenirNextLTPro-Regula" w:eastAsia="Times New Roman" w:hAnsi="HouseofHRAvenirNextLTPro-Regula" w:cs="Arial"/>
          <w:sz w:val="18"/>
          <w:szCs w:val="18"/>
          <w:lang w:val="en-US"/>
        </w:rPr>
        <w:t xml:space="preserve"> Regular reviews of </w:t>
      </w:r>
      <w:r w:rsidR="00893E01" w:rsidRPr="00445B99">
        <w:rPr>
          <w:rFonts w:ascii="HouseofHRAvenirNextLTPro-Regula" w:eastAsia="Times New Roman" w:hAnsi="HouseofHRAvenirNextLTPro-Regula" w:cs="Arial"/>
          <w:sz w:val="18"/>
          <w:szCs w:val="18"/>
          <w:lang w:val="en-US"/>
        </w:rPr>
        <w:t>House of HR's</w:t>
      </w:r>
      <w:r w:rsidR="00111AE3" w:rsidRPr="00445B99">
        <w:rPr>
          <w:rFonts w:ascii="HouseofHRAvenirNextLTPro-Regula" w:eastAsia="Times New Roman" w:hAnsi="HouseofHRAvenirNextLTPro-Regula" w:cs="Arial"/>
          <w:sz w:val="18"/>
          <w:szCs w:val="18"/>
          <w:lang w:val="en-US"/>
        </w:rPr>
        <w:t xml:space="preserve"> tax practices will be </w:t>
      </w:r>
      <w:r w:rsidR="004D6DE1" w:rsidRPr="00445B99">
        <w:rPr>
          <w:rFonts w:ascii="HouseofHRAvenirNextLTPro-Regula" w:eastAsia="Times New Roman" w:hAnsi="HouseofHRAvenirNextLTPro-Regula" w:cs="Arial"/>
          <w:sz w:val="18"/>
          <w:szCs w:val="18"/>
          <w:lang w:val="en-US"/>
        </w:rPr>
        <w:t xml:space="preserve">included in the tax control framework </w:t>
      </w:r>
      <w:r w:rsidR="00111AE3" w:rsidRPr="00445B99">
        <w:rPr>
          <w:rFonts w:ascii="HouseofHRAvenirNextLTPro-Regula" w:eastAsia="Times New Roman" w:hAnsi="HouseofHRAvenirNextLTPro-Regula" w:cs="Arial"/>
          <w:sz w:val="18"/>
          <w:szCs w:val="18"/>
          <w:lang w:val="en-US"/>
        </w:rPr>
        <w:t>to ensure ongoing compliance with tax laws. Any necessary adjustments will be made promptly</w:t>
      </w:r>
      <w:r w:rsidR="00A46E65" w:rsidRPr="00445B99">
        <w:rPr>
          <w:rFonts w:ascii="HouseofHRAvenirNextLTPro-Regula" w:eastAsia="Times New Roman" w:hAnsi="HouseofHRAvenirNextLTPro-Regula" w:cs="Arial"/>
          <w:sz w:val="18"/>
          <w:szCs w:val="18"/>
          <w:lang w:val="en-US"/>
        </w:rPr>
        <w:t xml:space="preserve"> in the tax control framework</w:t>
      </w:r>
      <w:r w:rsidR="00111AE3" w:rsidRPr="00445B99">
        <w:rPr>
          <w:rFonts w:ascii="HouseofHRAvenirNextLTPro-Regula" w:eastAsia="Times New Roman" w:hAnsi="HouseofHRAvenirNextLTPro-Regula" w:cs="Arial"/>
          <w:sz w:val="18"/>
          <w:szCs w:val="18"/>
          <w:lang w:val="en-US"/>
        </w:rPr>
        <w:t>.</w:t>
      </w:r>
    </w:p>
    <w:p w14:paraId="5A386AF2" w14:textId="77777777" w:rsidR="00111AE3" w:rsidRPr="00445B99" w:rsidRDefault="00111AE3" w:rsidP="00111AE3">
      <w:pPr>
        <w:pStyle w:val="Lijstalinea"/>
        <w:rPr>
          <w:rFonts w:ascii="HouseofHRAvenirNextLTPro-Regula" w:eastAsia="Times New Roman" w:hAnsi="HouseofHRAvenirNextLTPro-Regula" w:cs="Arial"/>
          <w:sz w:val="18"/>
          <w:szCs w:val="18"/>
          <w:lang w:val="en-US"/>
        </w:rPr>
      </w:pPr>
    </w:p>
    <w:p w14:paraId="416BABF7" w14:textId="4AD696CD" w:rsidR="00111AE3" w:rsidRPr="00445B99" w:rsidRDefault="00111AE3" w:rsidP="00111AE3">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Transfer Pricing:</w:t>
      </w:r>
      <w:r w:rsidRPr="00445B99">
        <w:rPr>
          <w:rFonts w:ascii="HouseofHRAvenirNextLTPro-Regula" w:eastAsia="Times New Roman" w:hAnsi="HouseofHRAvenirNextLTPro-Regula" w:cs="Arial"/>
          <w:sz w:val="18"/>
          <w:szCs w:val="18"/>
          <w:lang w:val="en-US"/>
        </w:rPr>
        <w:t xml:space="preserve"> </w:t>
      </w:r>
      <w:r w:rsidR="00893E01" w:rsidRPr="00445B99">
        <w:rPr>
          <w:rFonts w:ascii="HouseofHRAvenirNextLTPro-Regula" w:eastAsia="Times New Roman" w:hAnsi="HouseofHRAvenirNextLTPro-Regula" w:cs="Arial"/>
          <w:sz w:val="18"/>
          <w:szCs w:val="18"/>
          <w:lang w:val="en-US"/>
        </w:rPr>
        <w:t>House of HR</w:t>
      </w:r>
      <w:r w:rsidR="00C00039" w:rsidRPr="00445B99">
        <w:rPr>
          <w:rFonts w:ascii="HouseofHRAvenirNextLTPro-Regula" w:eastAsia="Times New Roman" w:hAnsi="HouseofHRAvenirNextLTPro-Regula" w:cs="Arial"/>
          <w:sz w:val="18"/>
          <w:szCs w:val="18"/>
          <w:lang w:val="en-US"/>
        </w:rPr>
        <w:t xml:space="preserve"> and </w:t>
      </w:r>
      <w:r w:rsidR="00712CB8" w:rsidRPr="00445B99">
        <w:rPr>
          <w:rFonts w:ascii="HouseofHRAvenirNextLTPro-Regula" w:eastAsia="Times New Roman" w:hAnsi="HouseofHRAvenirNextLTPro-Regula" w:cs="Arial"/>
          <w:sz w:val="18"/>
          <w:szCs w:val="18"/>
          <w:lang w:val="en-US"/>
        </w:rPr>
        <w:t>its</w:t>
      </w:r>
      <w:r w:rsidR="00C00039" w:rsidRPr="00445B99">
        <w:rPr>
          <w:rFonts w:ascii="HouseofHRAvenirNextLTPro-Regula" w:eastAsia="Times New Roman" w:hAnsi="HouseofHRAvenirNextLTPro-Regula" w:cs="Arial"/>
          <w:sz w:val="18"/>
          <w:szCs w:val="18"/>
          <w:lang w:val="en-US"/>
        </w:rPr>
        <w:t xml:space="preserve"> </w:t>
      </w:r>
      <w:proofErr w:type="spellStart"/>
      <w:r w:rsidR="00D23162" w:rsidRPr="00445B99">
        <w:rPr>
          <w:rFonts w:ascii="HouseofHRAvenirNextLTPro-Regula" w:eastAsia="Times New Roman" w:hAnsi="HouseofHRAvenirNextLTPro-Regula" w:cs="Arial"/>
          <w:sz w:val="18"/>
          <w:szCs w:val="18"/>
          <w:lang w:val="en-US"/>
        </w:rPr>
        <w:t>PowerHouses</w:t>
      </w:r>
      <w:proofErr w:type="spellEnd"/>
      <w:r w:rsidR="00C00039" w:rsidRPr="00445B99">
        <w:rPr>
          <w:rFonts w:ascii="HouseofHRAvenirNextLTPro-Regula" w:eastAsia="Times New Roman" w:hAnsi="HouseofHRAvenirNextLTPro-Regula" w:cs="Arial"/>
          <w:sz w:val="18"/>
          <w:szCs w:val="18"/>
          <w:lang w:val="en-US"/>
        </w:rPr>
        <w:t xml:space="preserve"> and </w:t>
      </w:r>
      <w:r w:rsidR="00072CE2">
        <w:rPr>
          <w:rFonts w:ascii="HouseofHRAvenirNextLTPro-Regula" w:eastAsia="Times New Roman" w:hAnsi="HouseofHRAvenirNextLTPro-Regula" w:cs="Arial"/>
          <w:sz w:val="18"/>
          <w:szCs w:val="18"/>
          <w:lang w:val="en-US"/>
        </w:rPr>
        <w:t>B</w:t>
      </w:r>
      <w:r w:rsidR="00072CE2" w:rsidRPr="00445B99">
        <w:rPr>
          <w:rFonts w:ascii="HouseofHRAvenirNextLTPro-Regula" w:eastAsia="Times New Roman" w:hAnsi="HouseofHRAvenirNextLTPro-Regula" w:cs="Arial"/>
          <w:sz w:val="18"/>
          <w:szCs w:val="18"/>
          <w:lang w:val="en-US"/>
        </w:rPr>
        <w:t xml:space="preserve">outiques </w:t>
      </w:r>
      <w:r w:rsidRPr="00445B99">
        <w:rPr>
          <w:rFonts w:ascii="HouseofHRAvenirNextLTPro-Regula" w:eastAsia="Times New Roman" w:hAnsi="HouseofHRAvenirNextLTPro-Regula" w:cs="Arial"/>
          <w:sz w:val="18"/>
          <w:szCs w:val="18"/>
          <w:lang w:val="en-US"/>
        </w:rPr>
        <w:t xml:space="preserve">will adhere to </w:t>
      </w:r>
      <w:r w:rsidR="00A55EBF">
        <w:rPr>
          <w:rFonts w:ascii="HouseofHRAvenirNextLTPro-Regula" w:eastAsia="Times New Roman" w:hAnsi="HouseofHRAvenirNextLTPro-Regula" w:cs="Arial"/>
          <w:sz w:val="18"/>
          <w:szCs w:val="18"/>
          <w:lang w:val="en-US"/>
        </w:rPr>
        <w:t>a</w:t>
      </w:r>
      <w:r w:rsidRPr="00445B99">
        <w:rPr>
          <w:rFonts w:ascii="HouseofHRAvenirNextLTPro-Regula" w:eastAsia="Times New Roman" w:hAnsi="HouseofHRAvenirNextLTPro-Regula" w:cs="Arial"/>
          <w:sz w:val="18"/>
          <w:szCs w:val="18"/>
          <w:lang w:val="en-US"/>
        </w:rPr>
        <w:t xml:space="preserve"> transfer pricing policy for international operations to ensure at arm’s length pricing and compliance with transfer pricing regulations.</w:t>
      </w:r>
    </w:p>
    <w:p w14:paraId="5AB10BB4" w14:textId="77777777" w:rsidR="00111AE3" w:rsidRPr="00445B99" w:rsidRDefault="00111AE3" w:rsidP="00111AE3">
      <w:pPr>
        <w:pStyle w:val="Lijstalinea"/>
        <w:rPr>
          <w:rFonts w:ascii="HouseofHRAvenirNextLTPro-Regula" w:eastAsia="Times New Roman" w:hAnsi="HouseofHRAvenirNextLTPro-Regula" w:cs="Arial"/>
          <w:sz w:val="18"/>
          <w:szCs w:val="18"/>
          <w:lang w:val="en-US"/>
        </w:rPr>
      </w:pPr>
    </w:p>
    <w:p w14:paraId="4DC63ECF" w14:textId="318F932A" w:rsidR="003E0392" w:rsidRPr="008B5276" w:rsidRDefault="00111AE3" w:rsidP="005833BC">
      <w:pPr>
        <w:pStyle w:val="Lijstalinea"/>
        <w:numPr>
          <w:ilvl w:val="0"/>
          <w:numId w:val="7"/>
        </w:numPr>
        <w:rPr>
          <w:rFonts w:ascii="HouseofHRAvenirNextLTPro-Regula" w:eastAsia="Times New Roman" w:hAnsi="HouseofHRAvenirNextLTPro-Regula" w:cs="Arial"/>
          <w:sz w:val="18"/>
          <w:szCs w:val="18"/>
          <w:lang w:val="en-US"/>
        </w:rPr>
      </w:pPr>
      <w:r w:rsidRPr="00445B99">
        <w:rPr>
          <w:rFonts w:ascii="HouseofHRAvenirNextLTPro-Regula" w:eastAsia="Times New Roman" w:hAnsi="HouseofHRAvenirNextLTPro-Regula" w:cs="HouseofHRAvenirNextLTPro-Regula"/>
          <w:b/>
          <w:bCs/>
          <w:color w:val="1E1246"/>
          <w:sz w:val="18"/>
          <w:szCs w:val="18"/>
          <w14:ligatures w14:val="standardContextual"/>
        </w:rPr>
        <w:t>Global Tax Management:</w:t>
      </w:r>
      <w:r w:rsidRPr="00445B99">
        <w:rPr>
          <w:rFonts w:ascii="HouseofHRAvenirNextLTPro-Regula" w:eastAsia="Times New Roman" w:hAnsi="HouseofHRAvenirNextLTPro-Regula" w:cs="Arial"/>
          <w:sz w:val="18"/>
          <w:szCs w:val="18"/>
          <w:lang w:val="en-US"/>
        </w:rPr>
        <w:t xml:space="preserve"> </w:t>
      </w:r>
      <w:r w:rsidR="005708EF" w:rsidRPr="00445B99">
        <w:rPr>
          <w:rFonts w:ascii="HouseofHRAvenirNextLTPro-Regula" w:eastAsia="Times New Roman" w:hAnsi="HouseofHRAvenirNextLTPro-Regula" w:cs="Arial"/>
          <w:sz w:val="18"/>
          <w:szCs w:val="18"/>
          <w:lang w:val="en-US"/>
        </w:rPr>
        <w:t>Group Tax</w:t>
      </w:r>
      <w:r w:rsidRPr="00445B99">
        <w:rPr>
          <w:rFonts w:ascii="HouseofHRAvenirNextLTPro-Regula" w:eastAsia="Times New Roman" w:hAnsi="HouseofHRAvenirNextLTPro-Regula" w:cs="Arial"/>
          <w:sz w:val="18"/>
          <w:szCs w:val="18"/>
          <w:lang w:val="en-US"/>
        </w:rPr>
        <w:t xml:space="preserve"> will closely monitor</w:t>
      </w:r>
      <w:r w:rsidR="005708EF" w:rsidRPr="00445B99">
        <w:rPr>
          <w:rFonts w:ascii="HouseofHRAvenirNextLTPro-Regula" w:eastAsia="Times New Roman" w:hAnsi="HouseofHRAvenirNextLTPro-Regula" w:cs="Arial"/>
          <w:sz w:val="18"/>
          <w:szCs w:val="18"/>
          <w:lang w:val="en-US"/>
        </w:rPr>
        <w:t xml:space="preserve"> changes in</w:t>
      </w:r>
      <w:r w:rsidR="00107A2A" w:rsidRPr="00445B99">
        <w:rPr>
          <w:rFonts w:ascii="HouseofHRAvenirNextLTPro-Regula" w:eastAsia="Times New Roman" w:hAnsi="HouseofHRAvenirNextLTPro-Regula" w:cs="Arial"/>
          <w:sz w:val="18"/>
          <w:szCs w:val="18"/>
          <w:lang w:val="en-US"/>
        </w:rPr>
        <w:t xml:space="preserve"> the field of</w:t>
      </w:r>
      <w:r w:rsidR="005708EF" w:rsidRPr="00445B99">
        <w:rPr>
          <w:rFonts w:ascii="HouseofHRAvenirNextLTPro-Regula" w:eastAsia="Times New Roman" w:hAnsi="HouseofHRAvenirNextLTPro-Regula" w:cs="Arial"/>
          <w:sz w:val="18"/>
          <w:szCs w:val="18"/>
          <w:lang w:val="en-US"/>
        </w:rPr>
        <w:t xml:space="preserve"> tax</w:t>
      </w:r>
      <w:r w:rsidR="00107A2A" w:rsidRPr="00445B99">
        <w:rPr>
          <w:rFonts w:ascii="HouseofHRAvenirNextLTPro-Regula" w:eastAsia="Times New Roman" w:hAnsi="HouseofHRAvenirNextLTPro-Regula" w:cs="Arial"/>
          <w:sz w:val="18"/>
          <w:szCs w:val="18"/>
          <w:lang w:val="en-US"/>
        </w:rPr>
        <w:t>ation</w:t>
      </w:r>
      <w:r w:rsidRPr="00445B99">
        <w:rPr>
          <w:rFonts w:ascii="HouseofHRAvenirNextLTPro-Regula" w:eastAsia="Times New Roman" w:hAnsi="HouseofHRAvenirNextLTPro-Regula" w:cs="Arial"/>
          <w:sz w:val="18"/>
          <w:szCs w:val="18"/>
          <w:lang w:val="en-US"/>
        </w:rPr>
        <w:t xml:space="preserve"> and manage the impact of </w:t>
      </w:r>
      <w:r w:rsidR="001D57EF" w:rsidRPr="00445B99">
        <w:rPr>
          <w:rFonts w:ascii="HouseofHRAvenirNextLTPro-Regula" w:eastAsia="Times New Roman" w:hAnsi="HouseofHRAvenirNextLTPro-Regula" w:cs="Arial"/>
          <w:sz w:val="18"/>
          <w:szCs w:val="18"/>
          <w:lang w:val="en-US"/>
        </w:rPr>
        <w:t xml:space="preserve">changes </w:t>
      </w:r>
      <w:r w:rsidR="00FC26B5" w:rsidRPr="00445B99">
        <w:rPr>
          <w:rFonts w:ascii="HouseofHRAvenirNextLTPro-Regula" w:eastAsia="Times New Roman" w:hAnsi="HouseofHRAvenirNextLTPro-Regula" w:cs="Arial"/>
          <w:sz w:val="18"/>
          <w:szCs w:val="18"/>
          <w:lang w:val="en-US"/>
        </w:rPr>
        <w:t xml:space="preserve">in </w:t>
      </w:r>
      <w:r w:rsidRPr="00445B99">
        <w:rPr>
          <w:rFonts w:ascii="HouseofHRAvenirNextLTPro-Regula" w:eastAsia="Times New Roman" w:hAnsi="HouseofHRAvenirNextLTPro-Regula" w:cs="Arial"/>
          <w:sz w:val="18"/>
          <w:szCs w:val="18"/>
          <w:lang w:val="en-US"/>
        </w:rPr>
        <w:t>tax laws</w:t>
      </w:r>
      <w:r w:rsidR="00893E01" w:rsidRPr="00445B99">
        <w:rPr>
          <w:rFonts w:ascii="HouseofHRAvenirNextLTPro-Regula" w:eastAsia="Times New Roman" w:hAnsi="HouseofHRAvenirNextLTPro-Regula" w:cs="Arial"/>
          <w:sz w:val="18"/>
          <w:szCs w:val="18"/>
          <w:lang w:val="en-US"/>
        </w:rPr>
        <w:t>, tax jurisprudence</w:t>
      </w:r>
      <w:r w:rsidRPr="00445B99">
        <w:rPr>
          <w:rFonts w:ascii="HouseofHRAvenirNextLTPro-Regula" w:eastAsia="Times New Roman" w:hAnsi="HouseofHRAvenirNextLTPro-Regula" w:cs="Arial"/>
          <w:sz w:val="18"/>
          <w:szCs w:val="18"/>
          <w:lang w:val="en-US"/>
        </w:rPr>
        <w:t xml:space="preserve"> and international treaties</w:t>
      </w:r>
      <w:r w:rsidR="00E973CA" w:rsidRPr="00445B99">
        <w:rPr>
          <w:rFonts w:ascii="HouseofHRAvenirNextLTPro-Regula" w:eastAsia="Times New Roman" w:hAnsi="HouseofHRAvenirNextLTPro-Regula" w:cs="Arial"/>
          <w:sz w:val="18"/>
          <w:szCs w:val="18"/>
          <w:lang w:val="en-US"/>
        </w:rPr>
        <w:t xml:space="preserve"> within House of HR</w:t>
      </w:r>
      <w:r w:rsidRPr="00445B99">
        <w:rPr>
          <w:rFonts w:ascii="HouseofHRAvenirNextLTPro-Regula" w:eastAsia="Times New Roman" w:hAnsi="HouseofHRAvenirNextLTPro-Regula" w:cs="Arial"/>
          <w:sz w:val="18"/>
          <w:szCs w:val="18"/>
          <w:lang w:val="en-US"/>
        </w:rPr>
        <w:t>.</w:t>
      </w:r>
    </w:p>
    <w:p w14:paraId="7F818368" w14:textId="6D2FFB66" w:rsidR="00111AE3" w:rsidRPr="00445B99" w:rsidRDefault="00111AE3" w:rsidP="005833BC">
      <w:pPr>
        <w:rPr>
          <w:rFonts w:ascii="HouseofHRAvenirNextLTPro-Regula" w:hAnsi="HouseofHRAvenirNextLTPro-Regula"/>
        </w:rPr>
      </w:pPr>
      <w:r w:rsidRPr="00445B99">
        <w:rPr>
          <w:rFonts w:ascii="HouseofHRAvenirNextLTPro-Regula" w:hAnsi="HouseofHRAvenirNextLTPro-Regula"/>
        </w:rPr>
        <w:t xml:space="preserve">By </w:t>
      </w:r>
      <w:r w:rsidR="001643A9">
        <w:rPr>
          <w:rFonts w:ascii="HouseofHRAvenirNextLTPro-Regula" w:hAnsi="HouseofHRAvenirNextLTPro-Regula"/>
        </w:rPr>
        <w:t>adhering to</w:t>
      </w:r>
      <w:r w:rsidR="00B22E01" w:rsidRPr="00445B99">
        <w:rPr>
          <w:rFonts w:ascii="HouseofHRAvenirNextLTPro-Regula" w:hAnsi="HouseofHRAvenirNextLTPro-Regula"/>
        </w:rPr>
        <w:t xml:space="preserve"> </w:t>
      </w:r>
      <w:r w:rsidRPr="00445B99">
        <w:rPr>
          <w:rFonts w:ascii="HouseofHRAvenirNextLTPro-Regula" w:hAnsi="HouseofHRAvenirNextLTPro-Regula"/>
        </w:rPr>
        <w:t>this tax strategy</w:t>
      </w:r>
      <w:r w:rsidR="00AB5134">
        <w:rPr>
          <w:rFonts w:ascii="HouseofHRAvenirNextLTPro-Regula" w:hAnsi="HouseofHRAvenirNextLTPro-Regula"/>
        </w:rPr>
        <w:t xml:space="preserve"> and working goals</w:t>
      </w:r>
      <w:r w:rsidR="002E20E2" w:rsidRPr="00445B99">
        <w:rPr>
          <w:rFonts w:ascii="HouseofHRAvenirNextLTPro-Regula" w:hAnsi="HouseofHRAvenirNextLTPro-Regula"/>
        </w:rPr>
        <w:t>,</w:t>
      </w:r>
      <w:r w:rsidR="00703DDF" w:rsidRPr="00445B99">
        <w:rPr>
          <w:rFonts w:ascii="HouseofHRAvenirNextLTPro-Regula" w:hAnsi="HouseofHRAvenirNextLTPro-Regula"/>
        </w:rPr>
        <w:t xml:space="preserve"> based on </w:t>
      </w:r>
      <w:r w:rsidR="003D6F47" w:rsidRPr="00445B99">
        <w:rPr>
          <w:rFonts w:ascii="HouseofHRAvenirNextLTPro-Regula" w:hAnsi="HouseofHRAvenirNextLTPro-Regula"/>
        </w:rPr>
        <w:t xml:space="preserve">the House of HR Group </w:t>
      </w:r>
      <w:r w:rsidR="00703DDF" w:rsidRPr="00445B99">
        <w:rPr>
          <w:rFonts w:ascii="HouseofHRAvenirNextLTPro-Regula" w:hAnsi="HouseofHRAvenirNextLTPro-Regula"/>
        </w:rPr>
        <w:t>values and principles</w:t>
      </w:r>
      <w:r w:rsidRPr="00445B99">
        <w:rPr>
          <w:rFonts w:ascii="HouseofHRAvenirNextLTPro-Regula" w:hAnsi="HouseofHRAvenirNextLTPro-Regula"/>
        </w:rPr>
        <w:t xml:space="preserve">, </w:t>
      </w:r>
      <w:r w:rsidR="005F0392">
        <w:rPr>
          <w:rFonts w:ascii="HouseofHRAvenirNextLTPro-Regula" w:hAnsi="HouseofHRAvenirNextLTPro-Regula"/>
        </w:rPr>
        <w:t>House of HR is</w:t>
      </w:r>
      <w:r w:rsidR="00165E3F" w:rsidRPr="00445B99">
        <w:rPr>
          <w:rFonts w:ascii="HouseofHRAvenirNextLTPro-Regula" w:hAnsi="HouseofHRAvenirNextLTPro-Regula"/>
        </w:rPr>
        <w:t xml:space="preserve"> </w:t>
      </w:r>
      <w:r w:rsidR="00805514">
        <w:rPr>
          <w:rFonts w:ascii="HouseofHRAvenirNextLTPro-Regula" w:hAnsi="HouseofHRAvenirNextLTPro-Regula"/>
        </w:rPr>
        <w:t xml:space="preserve"> </w:t>
      </w:r>
      <w:r w:rsidR="001643A9">
        <w:rPr>
          <w:rFonts w:ascii="HouseofHRAvenirNextLTPro-Regula" w:hAnsi="HouseofHRAvenirNextLTPro-Regula"/>
        </w:rPr>
        <w:t>effectively positioned</w:t>
      </w:r>
      <w:r w:rsidRPr="00445B99">
        <w:rPr>
          <w:rFonts w:ascii="HouseofHRAvenirNextLTPro-Regula" w:hAnsi="HouseofHRAvenirNextLTPro-Regula"/>
        </w:rPr>
        <w:t xml:space="preserve"> to fulfill its tax obligations while optimizing tax efficiency in a responsible and sustainable manner. </w:t>
      </w:r>
    </w:p>
    <w:p w14:paraId="73AC6532" w14:textId="77777777" w:rsidR="00537C07" w:rsidRPr="00445B99" w:rsidRDefault="00537C07" w:rsidP="005833BC">
      <w:pPr>
        <w:rPr>
          <w:rFonts w:ascii="HouseofHRAvenirNextLTPro-Regula" w:hAnsi="HouseofHRAvenirNextLTPro-Regula"/>
        </w:rPr>
      </w:pPr>
    </w:p>
    <w:p w14:paraId="71163E5B" w14:textId="61D9929B" w:rsidR="000D6B0D" w:rsidRPr="00445B99" w:rsidRDefault="000D6B0D" w:rsidP="00764D35">
      <w:pPr>
        <w:pStyle w:val="Kop2"/>
        <w:numPr>
          <w:ilvl w:val="0"/>
          <w:numId w:val="4"/>
        </w:numPr>
        <w:tabs>
          <w:tab w:val="num" w:pos="360"/>
        </w:tabs>
        <w:ind w:left="0" w:firstLine="0"/>
        <w:rPr>
          <w:rFonts w:ascii="HouseofHRAvenirNextLTPro-Regula" w:hAnsi="HouseofHRAvenirNextLTPro-Regula"/>
        </w:rPr>
      </w:pPr>
      <w:bookmarkStart w:id="5" w:name="_Toc172901798"/>
      <w:r w:rsidRPr="00445B99">
        <w:rPr>
          <w:rFonts w:ascii="HouseofHRAvenirNextLTPro-Regula" w:hAnsi="HouseofHRAvenirNextLTPro-Regula"/>
        </w:rPr>
        <w:t xml:space="preserve">Relationships </w:t>
      </w:r>
      <w:r w:rsidR="006F34DF" w:rsidRPr="00445B99">
        <w:rPr>
          <w:rFonts w:ascii="HouseofHRAvenirNextLTPro-Regula" w:hAnsi="HouseofHRAvenirNextLTPro-Regula"/>
        </w:rPr>
        <w:t xml:space="preserve">with </w:t>
      </w:r>
      <w:r w:rsidR="00C104A6" w:rsidRPr="00445B99">
        <w:rPr>
          <w:rFonts w:ascii="HouseofHRAvenirNextLTPro-Regula" w:hAnsi="HouseofHRAvenirNextLTPro-Regula"/>
        </w:rPr>
        <w:t xml:space="preserve">External </w:t>
      </w:r>
      <w:r w:rsidR="006F34DF" w:rsidRPr="00445B99">
        <w:rPr>
          <w:rFonts w:ascii="HouseofHRAvenirNextLTPro-Regula" w:hAnsi="HouseofHRAvenirNextLTPro-Regula"/>
        </w:rPr>
        <w:t>Stakeholders</w:t>
      </w:r>
      <w:bookmarkEnd w:id="5"/>
    </w:p>
    <w:p w14:paraId="39A49146" w14:textId="73AF5ADB" w:rsidR="00A07A3B" w:rsidRPr="00445B99" w:rsidRDefault="00FE0263" w:rsidP="00A07A3B">
      <w:pPr>
        <w:rPr>
          <w:rFonts w:ascii="HouseofHRAvenirNextLTPro-Regula" w:hAnsi="HouseofHRAvenirNextLTPro-Regula"/>
        </w:rPr>
      </w:pPr>
      <w:r w:rsidRPr="00445B99">
        <w:rPr>
          <w:rFonts w:ascii="HouseofHRAvenirNextLTPro-Regula" w:hAnsi="HouseofHRAvenirNextLTPro-Regula"/>
        </w:rPr>
        <w:t xml:space="preserve">Because of the increasing </w:t>
      </w:r>
      <w:r w:rsidR="00C104A6" w:rsidRPr="00445B99">
        <w:rPr>
          <w:rFonts w:ascii="HouseofHRAvenirNextLTPro-Regula" w:hAnsi="HouseofHRAvenirNextLTPro-Regula"/>
        </w:rPr>
        <w:t>demands in the area of taxes,</w:t>
      </w:r>
      <w:r w:rsidRPr="00445B99">
        <w:rPr>
          <w:rFonts w:ascii="HouseofHRAvenirNextLTPro-Regula" w:hAnsi="HouseofHRAvenirNextLTPro-Regula"/>
        </w:rPr>
        <w:t xml:space="preserve"> </w:t>
      </w:r>
      <w:r w:rsidR="00511E17" w:rsidRPr="00445B99">
        <w:rPr>
          <w:rFonts w:ascii="HouseofHRAvenirNextLTPro-Regula" w:hAnsi="HouseofHRAvenirNextLTPro-Regula"/>
        </w:rPr>
        <w:t>i</w:t>
      </w:r>
      <w:r w:rsidR="00576E41" w:rsidRPr="00445B99">
        <w:rPr>
          <w:rFonts w:ascii="HouseofHRAvenirNextLTPro-Regula" w:hAnsi="HouseofHRAvenirNextLTPro-Regula"/>
        </w:rPr>
        <w:t xml:space="preserve">t is crucial </w:t>
      </w:r>
      <w:r w:rsidRPr="00445B99">
        <w:rPr>
          <w:rFonts w:ascii="HouseofHRAvenirNextLTPro-Regula" w:hAnsi="HouseofHRAvenirNextLTPro-Regula"/>
        </w:rPr>
        <w:t xml:space="preserve">to have relationships </w:t>
      </w:r>
      <w:r w:rsidR="00EB0DBD" w:rsidRPr="00445B99">
        <w:rPr>
          <w:rFonts w:ascii="HouseofHRAvenirNextLTPro-Regula" w:hAnsi="HouseofHRAvenirNextLTPro-Regula"/>
        </w:rPr>
        <w:t>with</w:t>
      </w:r>
      <w:r w:rsidR="003654B0" w:rsidRPr="00445B99">
        <w:rPr>
          <w:rFonts w:ascii="HouseofHRAvenirNextLTPro-Regula" w:hAnsi="HouseofHRAvenirNextLTPro-Regula"/>
        </w:rPr>
        <w:t xml:space="preserve"> different</w:t>
      </w:r>
      <w:r w:rsidR="00EB0DBD" w:rsidRPr="00445B99">
        <w:rPr>
          <w:rFonts w:ascii="HouseofHRAvenirNextLTPro-Regula" w:hAnsi="HouseofHRAvenirNextLTPro-Regula"/>
        </w:rPr>
        <w:t xml:space="preserve"> </w:t>
      </w:r>
      <w:r w:rsidR="006F34DF" w:rsidRPr="00445B99">
        <w:rPr>
          <w:rFonts w:ascii="HouseofHRAvenirNextLTPro-Regula" w:hAnsi="HouseofHRAvenirNextLTPro-Regula"/>
        </w:rPr>
        <w:t>external stakeholders</w:t>
      </w:r>
      <w:r w:rsidR="00EB0DBD" w:rsidRPr="00445B99">
        <w:rPr>
          <w:rFonts w:ascii="HouseofHRAvenirNextLTPro-Regula" w:hAnsi="HouseofHRAvenirNextLTPro-Regula"/>
        </w:rPr>
        <w:t xml:space="preserve"> outside of </w:t>
      </w:r>
      <w:r w:rsidR="00C04986" w:rsidRPr="00445B99">
        <w:rPr>
          <w:rFonts w:ascii="HouseofHRAvenirNextLTPro-Regula" w:hAnsi="HouseofHRAvenirNextLTPro-Regula"/>
        </w:rPr>
        <w:t>House of HR</w:t>
      </w:r>
      <w:r w:rsidR="00EB0DBD" w:rsidRPr="00445B99">
        <w:rPr>
          <w:rFonts w:ascii="HouseofHRAvenirNextLTPro-Regula" w:hAnsi="HouseofHRAvenirNextLTPro-Regula"/>
        </w:rPr>
        <w:t xml:space="preserve">. </w:t>
      </w:r>
    </w:p>
    <w:p w14:paraId="2CF4BB93" w14:textId="77777777" w:rsidR="00730745" w:rsidRPr="00445B99" w:rsidRDefault="00730745" w:rsidP="003F6E20">
      <w:pPr>
        <w:rPr>
          <w:rFonts w:ascii="HouseofHRAvenirNextLTPro-Regula" w:hAnsi="HouseofHRAvenirNextLTPro-Regula"/>
        </w:rPr>
      </w:pPr>
    </w:p>
    <w:p w14:paraId="09D26A88" w14:textId="5950A3CF" w:rsidR="000D6B0D" w:rsidRPr="001C240A" w:rsidRDefault="000D6B0D" w:rsidP="001C240A">
      <w:pPr>
        <w:rPr>
          <w:rFonts w:ascii="HouseofHRAvenirNextLTPro-Regula" w:eastAsia="Times New Roman" w:hAnsi="HouseofHRAvenirNextLTPro-Regula" w:cs="HouseofHRAvenirNextLTPro-Regula"/>
          <w:b/>
          <w:bCs/>
          <w:color w:val="1E1246"/>
          <w:szCs w:val="18"/>
          <w14:ligatures w14:val="standardContextual"/>
        </w:rPr>
      </w:pPr>
      <w:r w:rsidRPr="001C240A">
        <w:rPr>
          <w:rFonts w:ascii="HouseofHRAvenirNextLTPro-Regula" w:eastAsia="Times New Roman" w:hAnsi="HouseofHRAvenirNextLTPro-Regula" w:cs="HouseofHRAvenirNextLTPro-Regula"/>
          <w:b/>
          <w:bCs/>
          <w:color w:val="1E1246"/>
          <w:szCs w:val="18"/>
          <w14:ligatures w14:val="standardContextual"/>
        </w:rPr>
        <w:t>Investors</w:t>
      </w:r>
      <w:r w:rsidR="007673A7" w:rsidRPr="001C240A">
        <w:rPr>
          <w:rFonts w:ascii="HouseofHRAvenirNextLTPro-Regula" w:eastAsia="Times New Roman" w:hAnsi="HouseofHRAvenirNextLTPro-Regula" w:cs="HouseofHRAvenirNextLTPro-Regula"/>
          <w:b/>
          <w:bCs/>
          <w:color w:val="1E1246"/>
          <w:szCs w:val="18"/>
          <w14:ligatures w14:val="standardContextual"/>
        </w:rPr>
        <w:t xml:space="preserve"> and Lenders</w:t>
      </w:r>
    </w:p>
    <w:p w14:paraId="39DB164D" w14:textId="0C7EBC3D" w:rsidR="005B135F" w:rsidRPr="00445B99" w:rsidRDefault="001B0A87" w:rsidP="00764D35">
      <w:pPr>
        <w:autoSpaceDE w:val="0"/>
        <w:autoSpaceDN w:val="0"/>
        <w:adjustRightInd w:val="0"/>
        <w:spacing w:line="240" w:lineRule="auto"/>
        <w:rPr>
          <w:rFonts w:ascii="HouseofHRAvenirNextLTPro-Regula" w:hAnsi="HouseofHRAvenirNextLTPro-Regula"/>
        </w:rPr>
      </w:pPr>
      <w:r>
        <w:rPr>
          <w:rFonts w:ascii="HouseofHRAvenirNextLTPro-Regula" w:hAnsi="HouseofHRAvenirNextLTPro-Regula"/>
        </w:rPr>
        <w:t>House of HR</w:t>
      </w:r>
      <w:r w:rsidRPr="00445B99">
        <w:rPr>
          <w:rFonts w:ascii="HouseofHRAvenirNextLTPro-Regula" w:hAnsi="HouseofHRAvenirNextLTPro-Regula"/>
        </w:rPr>
        <w:t xml:space="preserve"> </w:t>
      </w:r>
      <w:r w:rsidR="00764D35" w:rsidRPr="00445B99">
        <w:rPr>
          <w:rFonts w:ascii="HouseofHRAvenirNextLTPro-Regula" w:hAnsi="HouseofHRAvenirNextLTPro-Regula"/>
        </w:rPr>
        <w:t>focus</w:t>
      </w:r>
      <w:r>
        <w:rPr>
          <w:rFonts w:ascii="HouseofHRAvenirNextLTPro-Regula" w:hAnsi="HouseofHRAvenirNextLTPro-Regula"/>
        </w:rPr>
        <w:t>ses</w:t>
      </w:r>
      <w:r w:rsidR="00764D35" w:rsidRPr="00445B99">
        <w:rPr>
          <w:rFonts w:ascii="HouseofHRAvenirNextLTPro-Regula" w:hAnsi="HouseofHRAvenirNextLTPro-Regula"/>
        </w:rPr>
        <w:t xml:space="preserve"> on providing transparent and consistent information and interactive communication to </w:t>
      </w:r>
      <w:r>
        <w:rPr>
          <w:rFonts w:ascii="HouseofHRAvenirNextLTPro-Regula" w:hAnsi="HouseofHRAvenirNextLTPro-Regula"/>
        </w:rPr>
        <w:t>its</w:t>
      </w:r>
      <w:r w:rsidRPr="00445B99">
        <w:rPr>
          <w:rFonts w:ascii="HouseofHRAvenirNextLTPro-Regula" w:hAnsi="HouseofHRAvenirNextLTPro-Regula"/>
        </w:rPr>
        <w:t xml:space="preserve"> </w:t>
      </w:r>
      <w:r w:rsidR="00764D35" w:rsidRPr="00445B99">
        <w:rPr>
          <w:rFonts w:ascii="HouseofHRAvenirNextLTPro-Regula" w:hAnsi="HouseofHRAvenirNextLTPro-Regula"/>
        </w:rPr>
        <w:t>investors</w:t>
      </w:r>
      <w:r w:rsidR="007673A7">
        <w:rPr>
          <w:rFonts w:ascii="HouseofHRAvenirNextLTPro-Regula" w:hAnsi="HouseofHRAvenirNextLTPro-Regula"/>
        </w:rPr>
        <w:t xml:space="preserve"> and lenders</w:t>
      </w:r>
      <w:r w:rsidR="00764D35" w:rsidRPr="00445B99">
        <w:rPr>
          <w:rFonts w:ascii="HouseofHRAvenirNextLTPro-Regula" w:hAnsi="HouseofHRAvenirNextLTPro-Regula"/>
        </w:rPr>
        <w:t xml:space="preserve">. </w:t>
      </w:r>
      <w:r>
        <w:rPr>
          <w:rFonts w:ascii="HouseofHRAvenirNextLTPro-Regula" w:hAnsi="HouseofHRAvenirNextLTPro-Regula"/>
        </w:rPr>
        <w:t>Hou</w:t>
      </w:r>
      <w:r w:rsidR="00BE0B46">
        <w:rPr>
          <w:rFonts w:ascii="HouseofHRAvenirNextLTPro-Regula" w:hAnsi="HouseofHRAvenirNextLTPro-Regula"/>
        </w:rPr>
        <w:t>s</w:t>
      </w:r>
      <w:r>
        <w:rPr>
          <w:rFonts w:ascii="HouseofHRAvenirNextLTPro-Regula" w:hAnsi="HouseofHRAvenirNextLTPro-Regula"/>
        </w:rPr>
        <w:t>e of HR</w:t>
      </w:r>
      <w:r w:rsidRPr="00445B99">
        <w:rPr>
          <w:rFonts w:ascii="HouseofHRAvenirNextLTPro-Regula" w:hAnsi="HouseofHRAvenirNextLTPro-Regula"/>
        </w:rPr>
        <w:t xml:space="preserve"> </w:t>
      </w:r>
      <w:r w:rsidR="00764D35" w:rsidRPr="00445B99">
        <w:rPr>
          <w:rFonts w:ascii="HouseofHRAvenirNextLTPro-Regula" w:hAnsi="HouseofHRAvenirNextLTPro-Regula"/>
        </w:rPr>
        <w:t>listen</w:t>
      </w:r>
      <w:r>
        <w:rPr>
          <w:rFonts w:ascii="HouseofHRAvenirNextLTPro-Regula" w:hAnsi="HouseofHRAvenirNextLTPro-Regula"/>
        </w:rPr>
        <w:t>s</w:t>
      </w:r>
      <w:r w:rsidR="00764D35" w:rsidRPr="00445B99">
        <w:rPr>
          <w:rFonts w:ascii="HouseofHRAvenirNextLTPro-Regula" w:hAnsi="HouseofHRAvenirNextLTPro-Regula"/>
        </w:rPr>
        <w:t xml:space="preserve"> to their views concerning taxes, such as transparency and governance, and factor their expectations into </w:t>
      </w:r>
      <w:r>
        <w:rPr>
          <w:rFonts w:ascii="HouseofHRAvenirNextLTPro-Regula" w:hAnsi="HouseofHRAvenirNextLTPro-Regula"/>
        </w:rPr>
        <w:t>its</w:t>
      </w:r>
      <w:r w:rsidR="00764D35" w:rsidRPr="00445B99">
        <w:rPr>
          <w:rFonts w:ascii="HouseofHRAvenirNextLTPro-Regula" w:hAnsi="HouseofHRAvenirNextLTPro-Regula"/>
        </w:rPr>
        <w:t xml:space="preserve"> approach. </w:t>
      </w:r>
      <w:r>
        <w:rPr>
          <w:rFonts w:ascii="HouseofHRAvenirNextLTPro-Regula" w:hAnsi="HouseofHRAvenirNextLTPro-Regula"/>
        </w:rPr>
        <w:t>House of HR</w:t>
      </w:r>
      <w:r w:rsidR="00764D35" w:rsidRPr="00445B99">
        <w:rPr>
          <w:rFonts w:ascii="HouseofHRAvenirNextLTPro-Regula" w:hAnsi="HouseofHRAvenirNextLTPro-Regula"/>
        </w:rPr>
        <w:t xml:space="preserve"> promptly repl</w:t>
      </w:r>
      <w:r>
        <w:rPr>
          <w:rFonts w:ascii="HouseofHRAvenirNextLTPro-Regula" w:hAnsi="HouseofHRAvenirNextLTPro-Regula"/>
        </w:rPr>
        <w:t>ies</w:t>
      </w:r>
      <w:r w:rsidR="00764D35" w:rsidRPr="00445B99">
        <w:rPr>
          <w:rFonts w:ascii="HouseofHRAvenirNextLTPro-Regula" w:hAnsi="HouseofHRAvenirNextLTPro-Regula"/>
        </w:rPr>
        <w:t xml:space="preserve"> to any specific correspondence from investors to provide them with additional insight into </w:t>
      </w:r>
      <w:r>
        <w:rPr>
          <w:rFonts w:ascii="HouseofHRAvenirNextLTPro-Regula" w:hAnsi="HouseofHRAvenirNextLTPro-Regula"/>
        </w:rPr>
        <w:t>its</w:t>
      </w:r>
      <w:r w:rsidR="00764D35" w:rsidRPr="00445B99">
        <w:rPr>
          <w:rFonts w:ascii="HouseofHRAvenirNextLTPro-Regula" w:hAnsi="HouseofHRAvenirNextLTPro-Regula"/>
        </w:rPr>
        <w:t xml:space="preserve"> approach to tax.</w:t>
      </w:r>
    </w:p>
    <w:p w14:paraId="15E405F3" w14:textId="77777777" w:rsidR="00C104A6" w:rsidRPr="00445B99" w:rsidRDefault="00C104A6" w:rsidP="00764D35">
      <w:pPr>
        <w:autoSpaceDE w:val="0"/>
        <w:autoSpaceDN w:val="0"/>
        <w:adjustRightInd w:val="0"/>
        <w:spacing w:line="240" w:lineRule="auto"/>
        <w:rPr>
          <w:rFonts w:ascii="HouseofHRAvenirNextLTPro-Regula" w:hAnsi="HouseofHRAvenirNextLTPro-Regula"/>
        </w:rPr>
      </w:pPr>
    </w:p>
    <w:p w14:paraId="41584B40" w14:textId="0BC30E62" w:rsidR="000D6B0D" w:rsidRPr="001C240A" w:rsidRDefault="000D6B0D" w:rsidP="001C240A">
      <w:pPr>
        <w:rPr>
          <w:rFonts w:ascii="HouseofHRAvenirNextLTPro-Regula" w:eastAsia="Times New Roman" w:hAnsi="HouseofHRAvenirNextLTPro-Regula" w:cs="HouseofHRAvenirNextLTPro-Regula"/>
          <w:b/>
          <w:bCs/>
          <w:color w:val="1E1246"/>
          <w:szCs w:val="18"/>
          <w14:ligatures w14:val="standardContextual"/>
        </w:rPr>
      </w:pPr>
      <w:r w:rsidRPr="001C240A">
        <w:rPr>
          <w:rFonts w:ascii="HouseofHRAvenirNextLTPro-Regula" w:eastAsia="Times New Roman" w:hAnsi="HouseofHRAvenirNextLTPro-Regula" w:cs="HouseofHRAvenirNextLTPro-Regula"/>
          <w:b/>
          <w:bCs/>
          <w:color w:val="1E1246"/>
          <w:szCs w:val="18"/>
          <w14:ligatures w14:val="standardContextual"/>
        </w:rPr>
        <w:t>Tax Authorities</w:t>
      </w:r>
    </w:p>
    <w:p w14:paraId="734BA8AB" w14:textId="5D78A163" w:rsidR="000D6B0D" w:rsidRPr="00445B99" w:rsidRDefault="00730745" w:rsidP="000D6B0D">
      <w:pPr>
        <w:autoSpaceDE w:val="0"/>
        <w:autoSpaceDN w:val="0"/>
        <w:adjustRightInd w:val="0"/>
        <w:spacing w:line="240" w:lineRule="auto"/>
        <w:rPr>
          <w:rFonts w:ascii="HouseofHRAvenirNextLTPro-Regula" w:hAnsi="HouseofHRAvenirNextLTPro-Regula"/>
        </w:rPr>
      </w:pPr>
      <w:r w:rsidRPr="00445B99">
        <w:rPr>
          <w:rFonts w:ascii="HouseofHRAvenirNextLTPro-Regula" w:eastAsia="Times New Roman" w:hAnsi="HouseofHRAvenirNextLTPro-Regula" w:cs="Arial"/>
          <w:szCs w:val="18"/>
        </w:rPr>
        <w:t>House of HR intents to foster open, proactive, and cooperative relationships with the tax authorities.</w:t>
      </w:r>
      <w:r w:rsidRPr="00445B99">
        <w:rPr>
          <w:rFonts w:ascii="HouseofHRAvenirNextLTPro-Regula" w:hAnsi="HouseofHRAvenirNextLTPro-Regula"/>
        </w:rPr>
        <w:t xml:space="preserve"> </w:t>
      </w:r>
      <w:r w:rsidR="000D6B0D" w:rsidRPr="00445B99">
        <w:rPr>
          <w:rFonts w:ascii="HouseofHRAvenirNextLTPro-Regula" w:hAnsi="HouseofHRAvenirNextLTPro-Regula"/>
        </w:rPr>
        <w:t xml:space="preserve">Group Tax is the first point of contact for the Dutch tax authorities. Group Tax will be informed upfront in situations in which the </w:t>
      </w:r>
      <w:proofErr w:type="spellStart"/>
      <w:r w:rsidR="00D23162" w:rsidRPr="00445B99">
        <w:rPr>
          <w:rFonts w:ascii="HouseofHRAvenirNextLTPro-Regula" w:hAnsi="HouseofHRAvenirNextLTPro-Regula"/>
        </w:rPr>
        <w:t>PowerHouses</w:t>
      </w:r>
      <w:proofErr w:type="spellEnd"/>
      <w:r w:rsidR="000D6B0D" w:rsidRPr="00445B99">
        <w:rPr>
          <w:rFonts w:ascii="HouseofHRAvenirNextLTPro-Regula" w:hAnsi="HouseofHRAvenirNextLTPro-Regula"/>
        </w:rPr>
        <w:t xml:space="preserve"> will be in direct contact with the Dutch tax authorities. Depending on the situation Group Tax can take an active or passive role and delegate the contact to the </w:t>
      </w:r>
      <w:proofErr w:type="spellStart"/>
      <w:r w:rsidR="00D23162" w:rsidRPr="00445B99">
        <w:rPr>
          <w:rFonts w:ascii="HouseofHRAvenirNextLTPro-Regula" w:hAnsi="HouseofHRAvenirNextLTPro-Regula"/>
        </w:rPr>
        <w:t>PowerHouse</w:t>
      </w:r>
      <w:proofErr w:type="spellEnd"/>
      <w:r w:rsidR="000D6B0D" w:rsidRPr="00445B99">
        <w:rPr>
          <w:rFonts w:ascii="HouseofHRAvenirNextLTPro-Regula" w:hAnsi="HouseofHRAvenirNextLTPro-Regula"/>
        </w:rPr>
        <w:t xml:space="preserve">. </w:t>
      </w:r>
    </w:p>
    <w:p w14:paraId="3892A0D5" w14:textId="77777777" w:rsidR="000D6B0D" w:rsidRPr="00445B99" w:rsidRDefault="000D6B0D" w:rsidP="000D6B0D">
      <w:pPr>
        <w:autoSpaceDE w:val="0"/>
        <w:autoSpaceDN w:val="0"/>
        <w:adjustRightInd w:val="0"/>
        <w:spacing w:line="240" w:lineRule="auto"/>
        <w:rPr>
          <w:rFonts w:ascii="HouseofHRAvenirNextLTPro-Regula" w:hAnsi="HouseofHRAvenirNextLTPro-Regula"/>
        </w:rPr>
      </w:pPr>
    </w:p>
    <w:p w14:paraId="6C30D6D4" w14:textId="0A6F3EB6" w:rsidR="000D6B0D" w:rsidRPr="00445B99" w:rsidRDefault="000D6B0D" w:rsidP="000D6B0D">
      <w:pPr>
        <w:autoSpaceDE w:val="0"/>
        <w:autoSpaceDN w:val="0"/>
        <w:adjustRightInd w:val="0"/>
        <w:spacing w:line="240" w:lineRule="auto"/>
        <w:rPr>
          <w:rFonts w:ascii="HouseofHRAvenirNextLTPro-Regula" w:hAnsi="HouseofHRAvenirNextLTPro-Regula"/>
        </w:rPr>
      </w:pPr>
      <w:r w:rsidRPr="00445B99">
        <w:rPr>
          <w:rFonts w:ascii="HouseofHRAvenirNextLTPro-Regula" w:hAnsi="HouseofHRAvenirNextLTPro-Regula"/>
        </w:rPr>
        <w:t xml:space="preserve">Contact with the tax authorities for non-Dutch </w:t>
      </w:r>
      <w:r w:rsidR="003A6FCC">
        <w:rPr>
          <w:rFonts w:ascii="HouseofHRAvenirNextLTPro-Regula" w:hAnsi="HouseofHRAvenirNextLTPro-Regula"/>
        </w:rPr>
        <w:t>companies</w:t>
      </w:r>
      <w:r w:rsidRPr="00445B99">
        <w:rPr>
          <w:rFonts w:ascii="HouseofHRAvenirNextLTPro-Regula" w:hAnsi="HouseofHRAvenirNextLTPro-Regula"/>
        </w:rPr>
        <w:t xml:space="preserve"> is primarily the responsibility of the </w:t>
      </w:r>
      <w:r w:rsidR="001B0A87">
        <w:rPr>
          <w:rFonts w:ascii="HouseofHRAvenirNextLTPro-Regula" w:hAnsi="HouseofHRAvenirNextLTPro-Regula"/>
        </w:rPr>
        <w:t>L</w:t>
      </w:r>
      <w:r w:rsidRPr="00445B99">
        <w:rPr>
          <w:rFonts w:ascii="HouseofHRAvenirNextLTPro-Regula" w:hAnsi="HouseofHRAvenirNextLTPro-Regula"/>
        </w:rPr>
        <w:t xml:space="preserve">ocal </w:t>
      </w:r>
      <w:r w:rsidR="00C04986" w:rsidRPr="00445B99">
        <w:rPr>
          <w:rFonts w:ascii="HouseofHRAvenirNextLTPro-Regula" w:hAnsi="HouseofHRAvenirNextLTPro-Regula"/>
        </w:rPr>
        <w:t xml:space="preserve">Tax </w:t>
      </w:r>
      <w:r w:rsidR="00E55F78" w:rsidRPr="00445B99">
        <w:rPr>
          <w:rFonts w:ascii="HouseofHRAvenirNextLTPro-Regula" w:hAnsi="HouseofHRAvenirNextLTPro-Regula"/>
        </w:rPr>
        <w:t>Responsible</w:t>
      </w:r>
      <w:r w:rsidRPr="00445B99">
        <w:rPr>
          <w:rFonts w:ascii="HouseofHRAvenirNextLTPro-Regula" w:hAnsi="HouseofHRAvenirNextLTPro-Regula"/>
        </w:rPr>
        <w:t xml:space="preserve">. In case Group Tax needs to contact these tax authorities, the </w:t>
      </w:r>
      <w:r w:rsidR="00E55F78" w:rsidRPr="00445B99">
        <w:rPr>
          <w:rFonts w:ascii="HouseofHRAvenirNextLTPro-Regula" w:hAnsi="HouseofHRAvenirNextLTPro-Regula"/>
        </w:rPr>
        <w:t xml:space="preserve">Local Tax Responsible </w:t>
      </w:r>
      <w:r w:rsidRPr="00445B99">
        <w:rPr>
          <w:rFonts w:ascii="HouseofHRAvenirNextLTPro-Regula" w:hAnsi="HouseofHRAvenirNextLTPro-Regula"/>
        </w:rPr>
        <w:t xml:space="preserve">will be informed upfront by Group Tax. To safeguard the interest of the Group, the </w:t>
      </w:r>
      <w:r w:rsidR="00E55F78" w:rsidRPr="00445B99">
        <w:rPr>
          <w:rFonts w:ascii="HouseofHRAvenirNextLTPro-Regula" w:hAnsi="HouseofHRAvenirNextLTPro-Regula"/>
        </w:rPr>
        <w:t xml:space="preserve">Local Tax Responsible </w:t>
      </w:r>
      <w:r w:rsidRPr="00445B99">
        <w:rPr>
          <w:rFonts w:ascii="HouseofHRAvenirNextLTPro-Regula" w:hAnsi="HouseofHRAvenirNextLTPro-Regula"/>
        </w:rPr>
        <w:t xml:space="preserve">will actively inform Group Tax in case of questions and/or announced audits from the tax authorities. </w:t>
      </w:r>
    </w:p>
    <w:p w14:paraId="45AF04BA" w14:textId="77777777" w:rsidR="000D6B0D" w:rsidRPr="00445B99" w:rsidRDefault="000D6B0D" w:rsidP="004B73D6">
      <w:pPr>
        <w:rPr>
          <w:rFonts w:ascii="HouseofHRAvenirNextLTPro-Regula" w:hAnsi="HouseofHRAvenirNextLTPro-Regula"/>
        </w:rPr>
      </w:pPr>
    </w:p>
    <w:p w14:paraId="3F1E4F0D" w14:textId="11556391" w:rsidR="005B135F" w:rsidRPr="001C240A" w:rsidRDefault="00764D35" w:rsidP="001C240A">
      <w:pPr>
        <w:rPr>
          <w:rFonts w:ascii="HouseofHRAvenirNextLTPro-Regula" w:eastAsia="Times New Roman" w:hAnsi="HouseofHRAvenirNextLTPro-Regula" w:cs="HouseofHRAvenirNextLTPro-Regula"/>
          <w:b/>
          <w:bCs/>
          <w:color w:val="1E1246"/>
          <w:szCs w:val="18"/>
          <w14:ligatures w14:val="standardContextual"/>
        </w:rPr>
      </w:pPr>
      <w:r w:rsidRPr="001C240A">
        <w:rPr>
          <w:rFonts w:ascii="HouseofHRAvenirNextLTPro-Regula" w:eastAsia="Times New Roman" w:hAnsi="HouseofHRAvenirNextLTPro-Regula" w:cs="HouseofHRAvenirNextLTPro-Regula"/>
          <w:b/>
          <w:bCs/>
          <w:color w:val="1E1246"/>
          <w:szCs w:val="18"/>
          <w14:ligatures w14:val="standardContextual"/>
        </w:rPr>
        <w:lastRenderedPageBreak/>
        <w:t>A</w:t>
      </w:r>
      <w:r w:rsidR="005B135F" w:rsidRPr="001C240A">
        <w:rPr>
          <w:rFonts w:ascii="HouseofHRAvenirNextLTPro-Regula" w:eastAsia="Times New Roman" w:hAnsi="HouseofHRAvenirNextLTPro-Regula" w:cs="HouseofHRAvenirNextLTPro-Regula"/>
          <w:b/>
          <w:bCs/>
          <w:color w:val="1E1246"/>
          <w:szCs w:val="18"/>
          <w14:ligatures w14:val="standardContextual"/>
        </w:rPr>
        <w:t xml:space="preserve">udit, </w:t>
      </w:r>
      <w:r w:rsidR="005825C2" w:rsidRPr="001C240A">
        <w:rPr>
          <w:rFonts w:ascii="HouseofHRAvenirNextLTPro-Regula" w:eastAsia="Times New Roman" w:hAnsi="HouseofHRAvenirNextLTPro-Regula" w:cs="HouseofHRAvenirNextLTPro-Regula"/>
          <w:b/>
          <w:bCs/>
          <w:color w:val="1E1246"/>
          <w:szCs w:val="18"/>
          <w14:ligatures w14:val="standardContextual"/>
        </w:rPr>
        <w:t>T</w:t>
      </w:r>
      <w:r w:rsidR="005B135F" w:rsidRPr="001C240A">
        <w:rPr>
          <w:rFonts w:ascii="HouseofHRAvenirNextLTPro-Regula" w:eastAsia="Times New Roman" w:hAnsi="HouseofHRAvenirNextLTPro-Regula" w:cs="HouseofHRAvenirNextLTPro-Regula"/>
          <w:b/>
          <w:bCs/>
          <w:color w:val="1E1246"/>
          <w:szCs w:val="18"/>
          <w14:ligatures w14:val="standardContextual"/>
        </w:rPr>
        <w:t xml:space="preserve">ax and </w:t>
      </w:r>
      <w:r w:rsidR="005825C2" w:rsidRPr="001C240A">
        <w:rPr>
          <w:rFonts w:ascii="HouseofHRAvenirNextLTPro-Regula" w:eastAsia="Times New Roman" w:hAnsi="HouseofHRAvenirNextLTPro-Regula" w:cs="HouseofHRAvenirNextLTPro-Regula"/>
          <w:b/>
          <w:bCs/>
          <w:color w:val="1E1246"/>
          <w:szCs w:val="18"/>
          <w14:ligatures w14:val="standardContextual"/>
        </w:rPr>
        <w:t>L</w:t>
      </w:r>
      <w:r w:rsidR="005B135F" w:rsidRPr="001C240A">
        <w:rPr>
          <w:rFonts w:ascii="HouseofHRAvenirNextLTPro-Regula" w:eastAsia="Times New Roman" w:hAnsi="HouseofHRAvenirNextLTPro-Regula" w:cs="HouseofHRAvenirNextLTPro-Regula"/>
          <w:b/>
          <w:bCs/>
          <w:color w:val="1E1246"/>
          <w:szCs w:val="18"/>
          <w14:ligatures w14:val="standardContextual"/>
        </w:rPr>
        <w:t xml:space="preserve">aw </w:t>
      </w:r>
      <w:r w:rsidR="005825C2" w:rsidRPr="001C240A">
        <w:rPr>
          <w:rFonts w:ascii="HouseofHRAvenirNextLTPro-Regula" w:eastAsia="Times New Roman" w:hAnsi="HouseofHRAvenirNextLTPro-Regula" w:cs="HouseofHRAvenirNextLTPro-Regula"/>
          <w:b/>
          <w:bCs/>
          <w:color w:val="1E1246"/>
          <w:szCs w:val="18"/>
          <w14:ligatures w14:val="standardContextual"/>
        </w:rPr>
        <w:t>F</w:t>
      </w:r>
      <w:r w:rsidR="005B135F" w:rsidRPr="001C240A">
        <w:rPr>
          <w:rFonts w:ascii="HouseofHRAvenirNextLTPro-Regula" w:eastAsia="Times New Roman" w:hAnsi="HouseofHRAvenirNextLTPro-Regula" w:cs="HouseofHRAvenirNextLTPro-Regula"/>
          <w:b/>
          <w:bCs/>
          <w:color w:val="1E1246"/>
          <w:szCs w:val="18"/>
          <w14:ligatures w14:val="standardContextual"/>
        </w:rPr>
        <w:t>irms</w:t>
      </w:r>
    </w:p>
    <w:p w14:paraId="183833EB" w14:textId="16BE66F4" w:rsidR="005B135F" w:rsidRPr="00445B99" w:rsidRDefault="003065BF" w:rsidP="00355B71">
      <w:pPr>
        <w:autoSpaceDE w:val="0"/>
        <w:autoSpaceDN w:val="0"/>
        <w:adjustRightInd w:val="0"/>
        <w:spacing w:line="240" w:lineRule="auto"/>
        <w:rPr>
          <w:rFonts w:ascii="HouseofHRAvenirNextLTPro-Regula" w:hAnsi="HouseofHRAvenirNextLTPro-Regula"/>
        </w:rPr>
      </w:pPr>
      <w:r w:rsidRPr="00445B99">
        <w:rPr>
          <w:rFonts w:ascii="HouseofHRAvenirNextLTPro-Regula" w:hAnsi="HouseofHRAvenirNextLTPro-Regula"/>
        </w:rPr>
        <w:t>Group Tax has</w:t>
      </w:r>
      <w:r w:rsidR="00355B71" w:rsidRPr="00445B99">
        <w:rPr>
          <w:rFonts w:ascii="HouseofHRAvenirNextLTPro-Regula" w:hAnsi="HouseofHRAvenirNextLTPro-Regula"/>
        </w:rPr>
        <w:t xml:space="preserve"> knowledge and expertise in the tax </w:t>
      </w:r>
      <w:r w:rsidR="00E04658">
        <w:rPr>
          <w:rFonts w:ascii="HouseofHRAvenirNextLTPro-Regula" w:hAnsi="HouseofHRAvenirNextLTPro-Regula"/>
        </w:rPr>
        <w:t>area</w:t>
      </w:r>
      <w:r w:rsidR="00355B71" w:rsidRPr="00445B99">
        <w:rPr>
          <w:rFonts w:ascii="HouseofHRAvenirNextLTPro-Regula" w:hAnsi="HouseofHRAvenirNextLTPro-Regula"/>
        </w:rPr>
        <w:t>. For a better understanding of new tax regulation, complex tax compliance, important projects with a potentially significant tax impact and tax audit</w:t>
      </w:r>
      <w:r w:rsidR="00112287">
        <w:rPr>
          <w:rFonts w:ascii="HouseofHRAvenirNextLTPro-Regula" w:hAnsi="HouseofHRAvenirNextLTPro-Regula"/>
        </w:rPr>
        <w:t>s</w:t>
      </w:r>
      <w:r w:rsidR="00355B71" w:rsidRPr="00445B99">
        <w:rPr>
          <w:rFonts w:ascii="HouseofHRAvenirNextLTPro-Regula" w:hAnsi="HouseofHRAvenirNextLTPro-Regula"/>
        </w:rPr>
        <w:t>/litigation</w:t>
      </w:r>
      <w:r w:rsidR="001B0A87">
        <w:rPr>
          <w:rFonts w:ascii="HouseofHRAvenirNextLTPro-Regula" w:hAnsi="HouseofHRAvenirNextLTPro-Regula"/>
        </w:rPr>
        <w:t xml:space="preserve">, House of HR </w:t>
      </w:r>
      <w:r w:rsidR="00355B71" w:rsidRPr="00445B99">
        <w:rPr>
          <w:rFonts w:ascii="HouseofHRAvenirNextLTPro-Regula" w:hAnsi="HouseofHRAvenirNextLTPro-Regula"/>
        </w:rPr>
        <w:t xml:space="preserve">may also engage external tax advisors. </w:t>
      </w:r>
      <w:r w:rsidR="00A3012C" w:rsidRPr="00445B99">
        <w:rPr>
          <w:rFonts w:ascii="HouseofHRAvenirNextLTPro-Regula" w:hAnsi="HouseofHRAvenirNextLTPro-Regula"/>
        </w:rPr>
        <w:t>Group Tax</w:t>
      </w:r>
      <w:r w:rsidR="00355B71" w:rsidRPr="00445B99">
        <w:rPr>
          <w:rFonts w:ascii="HouseofHRAvenirNextLTPro-Regula" w:hAnsi="HouseofHRAvenirNextLTPro-Regula"/>
        </w:rPr>
        <w:t xml:space="preserve"> </w:t>
      </w:r>
      <w:r w:rsidR="00AB2F78" w:rsidRPr="00445B99">
        <w:rPr>
          <w:rFonts w:ascii="HouseofHRAvenirNextLTPro-Regula" w:hAnsi="HouseofHRAvenirNextLTPro-Regula"/>
        </w:rPr>
        <w:t xml:space="preserve">will adhere to the </w:t>
      </w:r>
      <w:r w:rsidR="00FF33C0" w:rsidRPr="00445B99">
        <w:rPr>
          <w:rFonts w:ascii="HouseofHRAvenirNextLTPro-Regula" w:hAnsi="HouseofHRAvenirNextLTPro-Regula"/>
        </w:rPr>
        <w:t>I</w:t>
      </w:r>
      <w:r w:rsidR="00AB2F78" w:rsidRPr="00445B99">
        <w:rPr>
          <w:rFonts w:ascii="HouseofHRAvenirNextLTPro-Regula" w:hAnsi="HouseofHRAvenirNextLTPro-Regula"/>
        </w:rPr>
        <w:t>nternal</w:t>
      </w:r>
      <w:r w:rsidR="00FF33C0" w:rsidRPr="00445B99">
        <w:rPr>
          <w:rFonts w:ascii="HouseofHRAvenirNextLTPro-Regula" w:hAnsi="HouseofHRAvenirNextLTPro-Regula"/>
        </w:rPr>
        <w:t xml:space="preserve"> </w:t>
      </w:r>
      <w:r w:rsidR="00A3012C" w:rsidRPr="00445B99">
        <w:rPr>
          <w:rFonts w:ascii="HouseofHRAvenirNextLTPro-Regula" w:hAnsi="HouseofHRAvenirNextLTPro-Regula"/>
        </w:rPr>
        <w:t>A</w:t>
      </w:r>
      <w:r w:rsidR="00FF33C0" w:rsidRPr="00445B99">
        <w:rPr>
          <w:rFonts w:ascii="HouseofHRAvenirNextLTPro-Regula" w:hAnsi="HouseofHRAvenirNextLTPro-Regula"/>
        </w:rPr>
        <w:t xml:space="preserve">udit </w:t>
      </w:r>
      <w:r w:rsidR="00A3012C" w:rsidRPr="00445B99">
        <w:rPr>
          <w:rFonts w:ascii="HouseofHRAvenirNextLTPro-Regula" w:hAnsi="HouseofHRAvenirNextLTPro-Regula"/>
        </w:rPr>
        <w:t>I</w:t>
      </w:r>
      <w:r w:rsidR="00FF33C0" w:rsidRPr="00445B99">
        <w:rPr>
          <w:rFonts w:ascii="HouseofHRAvenirNextLTPro-Regula" w:hAnsi="HouseofHRAvenirNextLTPro-Regula"/>
        </w:rPr>
        <w:t>ndependency Policy</w:t>
      </w:r>
      <w:r w:rsidR="00AB2F78" w:rsidRPr="00445B99">
        <w:rPr>
          <w:rFonts w:ascii="HouseofHRAvenirNextLTPro-Regula" w:hAnsi="HouseofHRAvenirNextLTPro-Regula"/>
        </w:rPr>
        <w:t xml:space="preserve"> </w:t>
      </w:r>
      <w:r w:rsidR="00A3012C" w:rsidRPr="00445B99">
        <w:rPr>
          <w:rFonts w:ascii="HouseofHRAvenirNextLTPro-Regula" w:hAnsi="HouseofHRAvenirNextLTPro-Regula"/>
        </w:rPr>
        <w:t>and the</w:t>
      </w:r>
      <w:r w:rsidR="00FF33C0" w:rsidRPr="00445B99">
        <w:rPr>
          <w:rFonts w:ascii="HouseofHRAvenirNextLTPro-Regula" w:hAnsi="HouseofHRAvenirNextLTPro-Regula"/>
        </w:rPr>
        <w:t xml:space="preserve"> External</w:t>
      </w:r>
      <w:r w:rsidR="00355B71" w:rsidRPr="00445B99">
        <w:rPr>
          <w:rFonts w:ascii="HouseofHRAvenirNextLTPro-Regula" w:hAnsi="HouseofHRAvenirNextLTPro-Regula"/>
        </w:rPr>
        <w:t xml:space="preserve"> </w:t>
      </w:r>
      <w:r w:rsidR="00A3012C" w:rsidRPr="00445B99">
        <w:rPr>
          <w:rFonts w:ascii="HouseofHRAvenirNextLTPro-Regula" w:hAnsi="HouseofHRAvenirNextLTPro-Regula"/>
        </w:rPr>
        <w:t xml:space="preserve">Audit Independency Policy to make sure </w:t>
      </w:r>
      <w:r w:rsidR="00A728A3" w:rsidRPr="00445B99">
        <w:rPr>
          <w:rFonts w:ascii="HouseofHRAvenirNextLTPro-Regula" w:hAnsi="HouseofHRAvenirNextLTPro-Regula"/>
        </w:rPr>
        <w:t>the engaged</w:t>
      </w:r>
      <w:r w:rsidR="00A77C99" w:rsidRPr="00445B99">
        <w:rPr>
          <w:rFonts w:ascii="HouseofHRAvenirNextLTPro-Regula" w:hAnsi="HouseofHRAvenirNextLTPro-Regula"/>
        </w:rPr>
        <w:t xml:space="preserve"> tax advisors</w:t>
      </w:r>
      <w:r w:rsidR="00355B71" w:rsidRPr="00445B99">
        <w:rPr>
          <w:rFonts w:ascii="HouseofHRAvenirNextLTPro-Regula" w:hAnsi="HouseofHRAvenirNextLTPro-Regula"/>
        </w:rPr>
        <w:t xml:space="preserve"> are independent from </w:t>
      </w:r>
      <w:r w:rsidR="00C65DB0">
        <w:rPr>
          <w:rFonts w:ascii="HouseofHRAvenirNextLTPro-Regula" w:hAnsi="HouseofHRAvenirNextLTPro-Regula"/>
        </w:rPr>
        <w:t>the</w:t>
      </w:r>
      <w:r w:rsidR="00C65DB0" w:rsidRPr="00445B99">
        <w:rPr>
          <w:rFonts w:ascii="HouseofHRAvenirNextLTPro-Regula" w:hAnsi="HouseofHRAvenirNextLTPro-Regula"/>
        </w:rPr>
        <w:t xml:space="preserve"> </w:t>
      </w:r>
      <w:r w:rsidR="00355B71" w:rsidRPr="00445B99">
        <w:rPr>
          <w:rFonts w:ascii="HouseofHRAvenirNextLTPro-Regula" w:hAnsi="HouseofHRAvenirNextLTPro-Regula"/>
        </w:rPr>
        <w:t>auditors.</w:t>
      </w:r>
      <w:r w:rsidR="00EB7311" w:rsidRPr="00445B99">
        <w:rPr>
          <w:rFonts w:ascii="HouseofHRAvenirNextLTPro-Regula" w:hAnsi="HouseofHRAvenirNextLTPro-Regula"/>
        </w:rPr>
        <w:t xml:space="preserve"> Group Tax is also committed to </w:t>
      </w:r>
      <w:r w:rsidR="00C04986" w:rsidRPr="00445B99">
        <w:rPr>
          <w:rFonts w:ascii="HouseofHRAvenirNextLTPro-Regula" w:hAnsi="HouseofHRAvenirNextLTPro-Regula"/>
        </w:rPr>
        <w:t xml:space="preserve">adhere to </w:t>
      </w:r>
      <w:r w:rsidR="00EB7311" w:rsidRPr="00445B99">
        <w:rPr>
          <w:rFonts w:ascii="HouseofHRAvenirNextLTPro-Regula" w:hAnsi="HouseofHRAvenirNextLTPro-Regula"/>
        </w:rPr>
        <w:t xml:space="preserve">the House of HR Procurement procedure. </w:t>
      </w:r>
    </w:p>
    <w:p w14:paraId="6596262C" w14:textId="77777777" w:rsidR="00764D35" w:rsidRPr="00445B99" w:rsidRDefault="00764D35" w:rsidP="00764D35">
      <w:pPr>
        <w:autoSpaceDE w:val="0"/>
        <w:autoSpaceDN w:val="0"/>
        <w:adjustRightInd w:val="0"/>
        <w:spacing w:line="240" w:lineRule="auto"/>
        <w:rPr>
          <w:rFonts w:ascii="HouseofHRAvenirNextLTPro-Regula" w:eastAsia="Times New Roman" w:hAnsi="HouseofHRAvenirNextLTPro-Regula" w:cs="NeutrafaceText-Book"/>
          <w:sz w:val="17"/>
          <w:szCs w:val="17"/>
          <w:lang w:eastAsia="en-US"/>
          <w14:ligatures w14:val="standardContextual"/>
        </w:rPr>
      </w:pPr>
    </w:p>
    <w:p w14:paraId="58D5AF1C" w14:textId="62F56D99" w:rsidR="002B4987" w:rsidRPr="00445B99" w:rsidRDefault="002B4987" w:rsidP="002B4987">
      <w:pPr>
        <w:pStyle w:val="Kop2"/>
        <w:numPr>
          <w:ilvl w:val="0"/>
          <w:numId w:val="4"/>
        </w:numPr>
        <w:tabs>
          <w:tab w:val="num" w:pos="360"/>
        </w:tabs>
        <w:ind w:left="0" w:firstLine="0"/>
        <w:rPr>
          <w:rFonts w:ascii="HouseofHRAvenirNextLTPro-Regula" w:hAnsi="HouseofHRAvenirNextLTPro-Regula"/>
        </w:rPr>
      </w:pPr>
      <w:bookmarkStart w:id="6" w:name="_Toc172901799"/>
      <w:r w:rsidRPr="00445B99">
        <w:rPr>
          <w:rFonts w:ascii="HouseofHRAvenirNextLTPro-Regula" w:hAnsi="HouseofHRAvenirNextLTPro-Regula"/>
        </w:rPr>
        <w:t xml:space="preserve">Tax </w:t>
      </w:r>
      <w:r w:rsidR="0051638D" w:rsidRPr="00445B99">
        <w:rPr>
          <w:rFonts w:ascii="HouseofHRAvenirNextLTPro-Regula" w:hAnsi="HouseofHRAvenirNextLTPro-Regula"/>
        </w:rPr>
        <w:t>Transparency</w:t>
      </w:r>
      <w:r w:rsidR="00444238" w:rsidRPr="00445B99">
        <w:rPr>
          <w:rFonts w:ascii="HouseofHRAvenirNextLTPro-Regula" w:hAnsi="HouseofHRAvenirNextLTPro-Regula"/>
        </w:rPr>
        <w:t xml:space="preserve"> &amp; ESG</w:t>
      </w:r>
      <w:bookmarkEnd w:id="6"/>
    </w:p>
    <w:p w14:paraId="58E94A88" w14:textId="52422AE1" w:rsidR="00F97763" w:rsidRPr="00445B99" w:rsidRDefault="00B90EA3" w:rsidP="003F6E20">
      <w:pPr>
        <w:autoSpaceDE w:val="0"/>
        <w:autoSpaceDN w:val="0"/>
        <w:adjustRightInd w:val="0"/>
        <w:spacing w:line="240" w:lineRule="auto"/>
        <w:rPr>
          <w:rFonts w:ascii="HouseofHRAvenirNextLTPro-Regula" w:hAnsi="HouseofHRAvenirNextLTPro-Regula"/>
        </w:rPr>
      </w:pPr>
      <w:r w:rsidRPr="00445B99">
        <w:rPr>
          <w:rFonts w:ascii="HouseofHRAvenirNextLTPro-Regula" w:hAnsi="HouseofHRAvenirNextLTPro-Regula"/>
        </w:rPr>
        <w:t>House of HR</w:t>
      </w:r>
      <w:r w:rsidR="00F97763" w:rsidRPr="00445B99">
        <w:rPr>
          <w:rFonts w:ascii="HouseofHRAvenirNextLTPro-Regula" w:hAnsi="HouseofHRAvenirNextLTPro-Regula"/>
        </w:rPr>
        <w:t xml:space="preserve"> recognize</w:t>
      </w:r>
      <w:r w:rsidRPr="00445B99">
        <w:rPr>
          <w:rFonts w:ascii="HouseofHRAvenirNextLTPro-Regula" w:hAnsi="HouseofHRAvenirNextLTPro-Regula"/>
        </w:rPr>
        <w:t>s</w:t>
      </w:r>
      <w:r w:rsidR="00F97763" w:rsidRPr="00445B99">
        <w:rPr>
          <w:rFonts w:ascii="HouseofHRAvenirNextLTPro-Regula" w:hAnsi="HouseofHRAvenirNextLTPro-Regula"/>
        </w:rPr>
        <w:t xml:space="preserve"> the importance of tax transparency </w:t>
      </w:r>
      <w:r w:rsidR="001B29B0" w:rsidRPr="00445B99">
        <w:rPr>
          <w:rFonts w:ascii="HouseofHRAvenirNextLTPro-Regula" w:hAnsi="HouseofHRAvenirNextLTPro-Regula"/>
        </w:rPr>
        <w:t xml:space="preserve">within </w:t>
      </w:r>
      <w:r w:rsidR="00632439">
        <w:rPr>
          <w:rFonts w:ascii="HouseofHRAvenirNextLTPro-Regula" w:hAnsi="HouseofHRAvenirNextLTPro-Regula"/>
        </w:rPr>
        <w:t>its</w:t>
      </w:r>
      <w:r w:rsidR="00632439" w:rsidRPr="00445B99">
        <w:rPr>
          <w:rFonts w:ascii="HouseofHRAvenirNextLTPro-Regula" w:hAnsi="HouseofHRAvenirNextLTPro-Regula"/>
        </w:rPr>
        <w:t xml:space="preserve"> </w:t>
      </w:r>
      <w:r w:rsidR="00F97763" w:rsidRPr="00445B99">
        <w:rPr>
          <w:rFonts w:ascii="HouseofHRAvenirNextLTPro-Regula" w:hAnsi="HouseofHRAvenirNextLTPro-Regula"/>
        </w:rPr>
        <w:t>corporate values</w:t>
      </w:r>
      <w:r w:rsidRPr="00445B99">
        <w:rPr>
          <w:rFonts w:ascii="HouseofHRAvenirNextLTPro-Regula" w:hAnsi="HouseofHRAvenirNextLTPro-Regula"/>
        </w:rPr>
        <w:t xml:space="preserve"> and ESG </w:t>
      </w:r>
      <w:r w:rsidR="006324C9" w:rsidRPr="00445B99">
        <w:rPr>
          <w:rFonts w:ascii="HouseofHRAvenirNextLTPro-Regula" w:hAnsi="HouseofHRAvenirNextLTPro-Regula"/>
        </w:rPr>
        <w:t>principles</w:t>
      </w:r>
      <w:r w:rsidR="00F97763" w:rsidRPr="00445B99">
        <w:rPr>
          <w:rFonts w:ascii="HouseofHRAvenirNextLTPro-Regula" w:hAnsi="HouseofHRAvenirNextLTPro-Regula"/>
        </w:rPr>
        <w:t>.</w:t>
      </w:r>
      <w:r w:rsidR="005F0392">
        <w:rPr>
          <w:rFonts w:ascii="HouseofHRAvenirNextLTPro-Regula" w:hAnsi="HouseofHRAvenirNextLTPro-Regula"/>
        </w:rPr>
        <w:t xml:space="preserve"> House of HR is</w:t>
      </w:r>
      <w:r w:rsidR="00F97763" w:rsidRPr="00445B99">
        <w:rPr>
          <w:rFonts w:ascii="HouseofHRAvenirNextLTPro-Regula" w:hAnsi="HouseofHRAvenirNextLTPro-Regula"/>
        </w:rPr>
        <w:t xml:space="preserve"> committed to ensuring</w:t>
      </w:r>
      <w:r w:rsidR="00BD4682" w:rsidRPr="00445B99">
        <w:rPr>
          <w:rFonts w:ascii="HouseofHRAvenirNextLTPro-Regula" w:hAnsi="HouseofHRAvenirNextLTPro-Regula"/>
        </w:rPr>
        <w:t xml:space="preserve"> </w:t>
      </w:r>
      <w:r w:rsidR="00F97763" w:rsidRPr="00445B99">
        <w:rPr>
          <w:rFonts w:ascii="HouseofHRAvenirNextLTPro-Regula" w:hAnsi="HouseofHRAvenirNextLTPro-Regula"/>
        </w:rPr>
        <w:t xml:space="preserve">comprehensive reporting on </w:t>
      </w:r>
      <w:r w:rsidR="00632439">
        <w:rPr>
          <w:rFonts w:ascii="HouseofHRAvenirNextLTPro-Regula" w:hAnsi="HouseofHRAvenirNextLTPro-Regula"/>
        </w:rPr>
        <w:t>its</w:t>
      </w:r>
      <w:r w:rsidR="00632439" w:rsidRPr="00445B99">
        <w:rPr>
          <w:rFonts w:ascii="HouseofHRAvenirNextLTPro-Regula" w:hAnsi="HouseofHRAvenirNextLTPro-Regula"/>
        </w:rPr>
        <w:t xml:space="preserve"> </w:t>
      </w:r>
      <w:r w:rsidR="00464C60">
        <w:rPr>
          <w:rFonts w:ascii="HouseofHRAvenirNextLTPro-Regula" w:hAnsi="HouseofHRAvenirNextLTPro-Regula"/>
        </w:rPr>
        <w:t>tax policy</w:t>
      </w:r>
      <w:r w:rsidR="00F97763" w:rsidRPr="00445B99">
        <w:rPr>
          <w:rFonts w:ascii="HouseofHRAvenirNextLTPro-Regula" w:hAnsi="HouseofHRAvenirNextLTPro-Regula"/>
        </w:rPr>
        <w:t xml:space="preserve">, governance, and performance in the near future. This will involve disclosing </w:t>
      </w:r>
      <w:r w:rsidR="00632439">
        <w:rPr>
          <w:rFonts w:ascii="HouseofHRAvenirNextLTPro-Regula" w:hAnsi="HouseofHRAvenirNextLTPro-Regula"/>
        </w:rPr>
        <w:t>its</w:t>
      </w:r>
      <w:r w:rsidR="00632439" w:rsidRPr="00445B99">
        <w:rPr>
          <w:rFonts w:ascii="HouseofHRAvenirNextLTPro-Regula" w:hAnsi="HouseofHRAvenirNextLTPro-Regula"/>
        </w:rPr>
        <w:t xml:space="preserve"> </w:t>
      </w:r>
      <w:r w:rsidR="00F97763" w:rsidRPr="00445B99">
        <w:rPr>
          <w:rFonts w:ascii="HouseofHRAvenirNextLTPro-Regula" w:hAnsi="HouseofHRAvenirNextLTPro-Regula"/>
        </w:rPr>
        <w:t xml:space="preserve">approach to tax planning, </w:t>
      </w:r>
      <w:r w:rsidR="00632439">
        <w:rPr>
          <w:rFonts w:ascii="HouseofHRAvenirNextLTPro-Regula" w:hAnsi="HouseofHRAvenirNextLTPro-Regula"/>
        </w:rPr>
        <w:t>its</w:t>
      </w:r>
      <w:r w:rsidR="00632439" w:rsidRPr="00445B99">
        <w:rPr>
          <w:rFonts w:ascii="HouseofHRAvenirNextLTPro-Regula" w:hAnsi="HouseofHRAvenirNextLTPro-Regula"/>
        </w:rPr>
        <w:t xml:space="preserve"> </w:t>
      </w:r>
      <w:r w:rsidR="00F97763" w:rsidRPr="00445B99">
        <w:rPr>
          <w:rFonts w:ascii="HouseofHRAvenirNextLTPro-Regula" w:hAnsi="HouseofHRAvenirNextLTPro-Regula"/>
        </w:rPr>
        <w:t xml:space="preserve">engagement with </w:t>
      </w:r>
      <w:r w:rsidR="00233432" w:rsidRPr="00445B99">
        <w:rPr>
          <w:rFonts w:ascii="HouseofHRAvenirNextLTPro-Regula" w:hAnsi="HouseofHRAvenirNextLTPro-Regula"/>
        </w:rPr>
        <w:t xml:space="preserve">the </w:t>
      </w:r>
      <w:r w:rsidR="00F97763" w:rsidRPr="00445B99">
        <w:rPr>
          <w:rFonts w:ascii="HouseofHRAvenirNextLTPro-Regula" w:hAnsi="HouseofHRAvenirNextLTPro-Regula"/>
        </w:rPr>
        <w:t>tax authorities</w:t>
      </w:r>
      <w:r w:rsidR="001B29B0" w:rsidRPr="00445B99">
        <w:rPr>
          <w:rFonts w:ascii="HouseofHRAvenirNextLTPro-Regula" w:hAnsi="HouseofHRAvenirNextLTPro-Regula"/>
        </w:rPr>
        <w:t xml:space="preserve"> and </w:t>
      </w:r>
      <w:r w:rsidR="005825C2" w:rsidRPr="00445B99">
        <w:rPr>
          <w:rFonts w:ascii="HouseofHRAvenirNextLTPro-Regula" w:hAnsi="HouseofHRAvenirNextLTPro-Regula"/>
        </w:rPr>
        <w:t>a</w:t>
      </w:r>
      <w:r w:rsidR="00233432" w:rsidRPr="00445B99">
        <w:rPr>
          <w:rFonts w:ascii="HouseofHRAvenirNextLTPro-Regula" w:hAnsi="HouseofHRAvenirNextLTPro-Regula"/>
        </w:rPr>
        <w:t>n overview o</w:t>
      </w:r>
      <w:r w:rsidR="00632439">
        <w:rPr>
          <w:rFonts w:ascii="HouseofHRAvenirNextLTPro-Regula" w:hAnsi="HouseofHRAvenirNextLTPro-Regula"/>
        </w:rPr>
        <w:t xml:space="preserve">f its </w:t>
      </w:r>
      <w:r w:rsidR="00233432" w:rsidRPr="00445B99">
        <w:rPr>
          <w:rFonts w:ascii="HouseofHRAvenirNextLTPro-Regula" w:hAnsi="HouseofHRAvenirNextLTPro-Regula"/>
        </w:rPr>
        <w:t>t</w:t>
      </w:r>
      <w:r w:rsidR="005825C2" w:rsidRPr="00445B99">
        <w:rPr>
          <w:rFonts w:ascii="HouseofHRAvenirNextLTPro-Regula" w:hAnsi="HouseofHRAvenirNextLTPro-Regula"/>
        </w:rPr>
        <w:t xml:space="preserve">ax </w:t>
      </w:r>
      <w:r w:rsidR="00233432" w:rsidRPr="00445B99">
        <w:rPr>
          <w:rFonts w:ascii="HouseofHRAvenirNextLTPro-Regula" w:hAnsi="HouseofHRAvenirNextLTPro-Regula"/>
        </w:rPr>
        <w:t>c</w:t>
      </w:r>
      <w:r w:rsidR="005825C2" w:rsidRPr="00445B99">
        <w:rPr>
          <w:rFonts w:ascii="HouseofHRAvenirNextLTPro-Regula" w:hAnsi="HouseofHRAvenirNextLTPro-Regula"/>
        </w:rPr>
        <w:t>ontribution</w:t>
      </w:r>
      <w:r w:rsidR="00233432" w:rsidRPr="00445B99">
        <w:rPr>
          <w:rFonts w:ascii="HouseofHRAvenirNextLTPro-Regula" w:hAnsi="HouseofHRAvenirNextLTPro-Regula"/>
        </w:rPr>
        <w:t>s</w:t>
      </w:r>
      <w:r w:rsidR="00F97763" w:rsidRPr="00445B99">
        <w:rPr>
          <w:rFonts w:ascii="HouseofHRAvenirNextLTPro-Regula" w:hAnsi="HouseofHRAvenirNextLTPro-Regula"/>
        </w:rPr>
        <w:t xml:space="preserve">. By embracing transparent reporting on </w:t>
      </w:r>
      <w:r w:rsidR="00632439">
        <w:rPr>
          <w:rFonts w:ascii="HouseofHRAvenirNextLTPro-Regula" w:hAnsi="HouseofHRAvenirNextLTPro-Regula"/>
        </w:rPr>
        <w:t>its</w:t>
      </w:r>
      <w:r w:rsidR="00632439" w:rsidRPr="00445B99">
        <w:rPr>
          <w:rFonts w:ascii="HouseofHRAvenirNextLTPro-Regula" w:hAnsi="HouseofHRAvenirNextLTPro-Regula"/>
        </w:rPr>
        <w:t xml:space="preserve"> </w:t>
      </w:r>
      <w:r w:rsidR="00F97763" w:rsidRPr="00445B99">
        <w:rPr>
          <w:rFonts w:ascii="HouseofHRAvenirNextLTPro-Regula" w:hAnsi="HouseofHRAvenirNextLTPro-Regula"/>
        </w:rPr>
        <w:t xml:space="preserve">tax practices, </w:t>
      </w:r>
      <w:r w:rsidR="00632439">
        <w:rPr>
          <w:rFonts w:ascii="HouseofHRAvenirNextLTPro-Regula" w:hAnsi="HouseofHRAvenirNextLTPro-Regula"/>
        </w:rPr>
        <w:t>House of HR</w:t>
      </w:r>
      <w:r w:rsidR="00632439" w:rsidRPr="00445B99">
        <w:rPr>
          <w:rFonts w:ascii="HouseofHRAvenirNextLTPro-Regula" w:hAnsi="HouseofHRAvenirNextLTPro-Regula"/>
        </w:rPr>
        <w:t xml:space="preserve"> </w:t>
      </w:r>
      <w:r w:rsidR="00F97763" w:rsidRPr="00445B99">
        <w:rPr>
          <w:rFonts w:ascii="HouseofHRAvenirNextLTPro-Regula" w:hAnsi="HouseofHRAvenirNextLTPro-Regula"/>
        </w:rPr>
        <w:t>aim</w:t>
      </w:r>
      <w:r w:rsidR="00632439">
        <w:rPr>
          <w:rFonts w:ascii="HouseofHRAvenirNextLTPro-Regula" w:hAnsi="HouseofHRAvenirNextLTPro-Regula"/>
        </w:rPr>
        <w:t>s</w:t>
      </w:r>
      <w:r w:rsidR="00F97763" w:rsidRPr="00445B99">
        <w:rPr>
          <w:rFonts w:ascii="HouseofHRAvenirNextLTPro-Regula" w:hAnsi="HouseofHRAvenirNextLTPro-Regula"/>
        </w:rPr>
        <w:t xml:space="preserve"> to foster trust with stakeholders, underscore </w:t>
      </w:r>
      <w:r w:rsidR="00632439">
        <w:rPr>
          <w:rFonts w:ascii="HouseofHRAvenirNextLTPro-Regula" w:hAnsi="HouseofHRAvenirNextLTPro-Regula"/>
        </w:rPr>
        <w:t>its</w:t>
      </w:r>
      <w:r w:rsidR="00632439" w:rsidRPr="00445B99">
        <w:rPr>
          <w:rFonts w:ascii="HouseofHRAvenirNextLTPro-Regula" w:hAnsi="HouseofHRAvenirNextLTPro-Regula"/>
        </w:rPr>
        <w:t xml:space="preserve"> </w:t>
      </w:r>
      <w:r w:rsidR="00F97763" w:rsidRPr="00445B99">
        <w:rPr>
          <w:rFonts w:ascii="HouseofHRAvenirNextLTPro-Regula" w:hAnsi="HouseofHRAvenirNextLTPro-Regula"/>
        </w:rPr>
        <w:t>dedication to responsible tax conduct, and align</w:t>
      </w:r>
      <w:r w:rsidR="001B29B0" w:rsidRPr="00445B99">
        <w:rPr>
          <w:rFonts w:ascii="HouseofHRAvenirNextLTPro-Regula" w:hAnsi="HouseofHRAvenirNextLTPro-Regula"/>
        </w:rPr>
        <w:t>ment</w:t>
      </w:r>
      <w:r w:rsidR="00F97763" w:rsidRPr="00445B99">
        <w:rPr>
          <w:rFonts w:ascii="HouseofHRAvenirNextLTPro-Regula" w:hAnsi="HouseofHRAvenirNextLTPro-Regula"/>
        </w:rPr>
        <w:t xml:space="preserve"> with global ESG standards</w:t>
      </w:r>
      <w:r w:rsidR="00A971FE" w:rsidRPr="00445B99">
        <w:rPr>
          <w:rStyle w:val="Voetnootmarkering"/>
          <w:rFonts w:ascii="HouseofHRAvenirNextLTPro-Regula" w:hAnsi="HouseofHRAvenirNextLTPro-Regula"/>
        </w:rPr>
        <w:footnoteReference w:id="2"/>
      </w:r>
      <w:r w:rsidR="00F97763" w:rsidRPr="00445B99">
        <w:rPr>
          <w:rFonts w:ascii="HouseofHRAvenirNextLTPro-Regula" w:hAnsi="HouseofHRAvenirNextLTPro-Regula"/>
        </w:rPr>
        <w:t>.</w:t>
      </w:r>
    </w:p>
    <w:p w14:paraId="4955DC5D" w14:textId="77777777" w:rsidR="00135747" w:rsidRPr="00445B99" w:rsidRDefault="00135747" w:rsidP="001E5D41">
      <w:pPr>
        <w:pStyle w:val="Tekstzonderopmaak"/>
        <w:rPr>
          <w:rFonts w:ascii="HouseofHRAvenirNextLTPro-Regula" w:hAnsi="HouseofHRAvenirNextLTPro-Regula"/>
          <w:lang w:val="en-US"/>
        </w:rPr>
      </w:pPr>
    </w:p>
    <w:p w14:paraId="0B7C78D8" w14:textId="2434D022" w:rsidR="00A370B5" w:rsidRDefault="00A370B5" w:rsidP="00A370B5">
      <w:pPr>
        <w:pStyle w:val="Kop2"/>
        <w:numPr>
          <w:ilvl w:val="0"/>
          <w:numId w:val="4"/>
        </w:numPr>
        <w:tabs>
          <w:tab w:val="num" w:pos="360"/>
        </w:tabs>
        <w:ind w:left="0" w:firstLine="0"/>
        <w:rPr>
          <w:rFonts w:ascii="HouseofHRAvenirNextLTPro-Regula" w:hAnsi="HouseofHRAvenirNextLTPro-Regula"/>
        </w:rPr>
      </w:pPr>
      <w:r>
        <w:rPr>
          <w:rFonts w:ascii="HouseofHRAvenirNextLTPro-Regula" w:hAnsi="HouseofHRAvenirNextLTPro-Regula"/>
        </w:rPr>
        <w:t>Policy information</w:t>
      </w:r>
    </w:p>
    <w:p w14:paraId="3B848B9E" w14:textId="77777777" w:rsidR="00A370B5" w:rsidRDefault="00A370B5" w:rsidP="00A370B5"/>
    <w:p w14:paraId="120D17A1" w14:textId="77777777" w:rsidR="00A370B5" w:rsidRDefault="00A370B5" w:rsidP="00A370B5">
      <w:pPr>
        <w:rPr>
          <w:highlight w:val="yellow"/>
          <w:lang w:val="en-GB"/>
        </w:rPr>
      </w:pPr>
      <w:r w:rsidRPr="00E222D6">
        <w:rPr>
          <w:highlight w:val="yellow"/>
          <w:lang w:val="en-GB"/>
        </w:rPr>
        <w:t>This policy is updated regularly to ensure its relevance over time. Below is the list of updates made to the policy.</w:t>
      </w:r>
    </w:p>
    <w:p w14:paraId="185486DB" w14:textId="77777777" w:rsidR="00A370B5" w:rsidRPr="00E222D6" w:rsidRDefault="00A370B5" w:rsidP="00A370B5">
      <w:pPr>
        <w:rPr>
          <w:highlight w:val="yellow"/>
          <w:lang w:val="en-GB"/>
        </w:rPr>
      </w:pPr>
    </w:p>
    <w:tbl>
      <w:tblPr>
        <w:tblStyle w:val="Tabelrasterlicht"/>
        <w:tblW w:w="0" w:type="auto"/>
        <w:tblLook w:val="04A0" w:firstRow="1" w:lastRow="0" w:firstColumn="1" w:lastColumn="0" w:noHBand="0" w:noVBand="1"/>
      </w:tblPr>
      <w:tblGrid>
        <w:gridCol w:w="2926"/>
        <w:gridCol w:w="2926"/>
        <w:gridCol w:w="2927"/>
      </w:tblGrid>
      <w:tr w:rsidR="00A370B5" w:rsidRPr="00E222D6" w14:paraId="41134D81" w14:textId="77777777" w:rsidTr="007667BA">
        <w:tc>
          <w:tcPr>
            <w:tcW w:w="2926" w:type="dxa"/>
          </w:tcPr>
          <w:p w14:paraId="1B503483" w14:textId="77777777" w:rsidR="00A370B5" w:rsidRPr="00E222D6" w:rsidRDefault="00A370B5" w:rsidP="007667BA">
            <w:pPr>
              <w:rPr>
                <w:b/>
                <w:bCs/>
                <w:highlight w:val="yellow"/>
                <w:lang w:val="en-GB"/>
              </w:rPr>
            </w:pPr>
            <w:r w:rsidRPr="00E222D6">
              <w:rPr>
                <w:b/>
                <w:bCs/>
                <w:highlight w:val="yellow"/>
                <w:lang w:val="en-GB"/>
              </w:rPr>
              <w:t>Version</w:t>
            </w:r>
          </w:p>
        </w:tc>
        <w:tc>
          <w:tcPr>
            <w:tcW w:w="2926" w:type="dxa"/>
          </w:tcPr>
          <w:p w14:paraId="6EFB41D4" w14:textId="77777777" w:rsidR="00A370B5" w:rsidRPr="00E222D6" w:rsidRDefault="00A370B5" w:rsidP="007667BA">
            <w:pPr>
              <w:rPr>
                <w:b/>
                <w:bCs/>
                <w:highlight w:val="yellow"/>
                <w:lang w:val="en-GB"/>
              </w:rPr>
            </w:pPr>
            <w:r w:rsidRPr="00E222D6">
              <w:rPr>
                <w:b/>
                <w:bCs/>
                <w:highlight w:val="yellow"/>
                <w:lang w:val="en-GB"/>
              </w:rPr>
              <w:t>Date</w:t>
            </w:r>
          </w:p>
        </w:tc>
        <w:tc>
          <w:tcPr>
            <w:tcW w:w="2927" w:type="dxa"/>
          </w:tcPr>
          <w:p w14:paraId="381963B8" w14:textId="77777777" w:rsidR="00A370B5" w:rsidRPr="00E222D6" w:rsidRDefault="00A370B5" w:rsidP="007667BA">
            <w:pPr>
              <w:rPr>
                <w:b/>
                <w:bCs/>
                <w:highlight w:val="yellow"/>
                <w:lang w:val="en-GB"/>
              </w:rPr>
            </w:pPr>
            <w:r w:rsidRPr="00E222D6">
              <w:rPr>
                <w:b/>
                <w:bCs/>
                <w:highlight w:val="yellow"/>
                <w:lang w:val="en-GB"/>
              </w:rPr>
              <w:t>Update</w:t>
            </w:r>
          </w:p>
        </w:tc>
      </w:tr>
      <w:tr w:rsidR="00A370B5" w:rsidRPr="00E222D6" w14:paraId="19AB1459" w14:textId="77777777" w:rsidTr="007667BA">
        <w:tc>
          <w:tcPr>
            <w:tcW w:w="2926" w:type="dxa"/>
          </w:tcPr>
          <w:p w14:paraId="1C912887" w14:textId="77777777" w:rsidR="00A370B5" w:rsidRPr="00E222D6" w:rsidRDefault="00A370B5" w:rsidP="007667BA">
            <w:pPr>
              <w:rPr>
                <w:highlight w:val="yellow"/>
                <w:lang w:val="en-GB"/>
              </w:rPr>
            </w:pPr>
            <w:r w:rsidRPr="00E222D6">
              <w:rPr>
                <w:highlight w:val="yellow"/>
                <w:lang w:val="en-GB"/>
              </w:rPr>
              <w:t>1.1.</w:t>
            </w:r>
          </w:p>
        </w:tc>
        <w:tc>
          <w:tcPr>
            <w:tcW w:w="2926" w:type="dxa"/>
          </w:tcPr>
          <w:p w14:paraId="07CC94A5" w14:textId="49FD214A" w:rsidR="00A370B5" w:rsidRPr="00E222D6" w:rsidRDefault="00A370B5" w:rsidP="007667BA">
            <w:pPr>
              <w:rPr>
                <w:highlight w:val="yellow"/>
                <w:lang w:val="en-GB"/>
              </w:rPr>
            </w:pPr>
            <w:r>
              <w:rPr>
                <w:highlight w:val="yellow"/>
                <w:lang w:val="en-GB"/>
              </w:rPr>
              <w:t>August 28, 2024</w:t>
            </w:r>
          </w:p>
        </w:tc>
        <w:tc>
          <w:tcPr>
            <w:tcW w:w="2927" w:type="dxa"/>
          </w:tcPr>
          <w:p w14:paraId="4E6F2A00" w14:textId="77777777" w:rsidR="00A370B5" w:rsidRPr="00E222D6" w:rsidRDefault="00A370B5" w:rsidP="007667BA">
            <w:pPr>
              <w:rPr>
                <w:highlight w:val="yellow"/>
                <w:lang w:val="en-GB"/>
              </w:rPr>
            </w:pPr>
            <w:r w:rsidRPr="00E222D6">
              <w:rPr>
                <w:highlight w:val="yellow"/>
                <w:lang w:val="en-GB"/>
              </w:rPr>
              <w:t>Initial policy</w:t>
            </w:r>
          </w:p>
        </w:tc>
      </w:tr>
      <w:tr w:rsidR="00A370B5" w:rsidRPr="00E222D6" w14:paraId="04667C68" w14:textId="77777777" w:rsidTr="007667BA">
        <w:tc>
          <w:tcPr>
            <w:tcW w:w="2926" w:type="dxa"/>
          </w:tcPr>
          <w:p w14:paraId="533865B6" w14:textId="77777777" w:rsidR="00A370B5" w:rsidRPr="00E222D6" w:rsidRDefault="00A370B5" w:rsidP="007667BA">
            <w:pPr>
              <w:rPr>
                <w:highlight w:val="yellow"/>
                <w:lang w:val="en-GB"/>
              </w:rPr>
            </w:pPr>
            <w:r w:rsidRPr="00E222D6">
              <w:rPr>
                <w:highlight w:val="yellow"/>
                <w:lang w:val="en-GB"/>
              </w:rPr>
              <w:t>1.2.</w:t>
            </w:r>
          </w:p>
        </w:tc>
        <w:tc>
          <w:tcPr>
            <w:tcW w:w="2926" w:type="dxa"/>
          </w:tcPr>
          <w:p w14:paraId="35A2C69E" w14:textId="77777777" w:rsidR="00A370B5" w:rsidRPr="00E222D6" w:rsidRDefault="00A370B5" w:rsidP="007667BA">
            <w:pPr>
              <w:rPr>
                <w:highlight w:val="yellow"/>
                <w:lang w:val="en-GB"/>
              </w:rPr>
            </w:pPr>
            <w:r w:rsidRPr="00E222D6">
              <w:rPr>
                <w:highlight w:val="yellow"/>
                <w:lang w:val="en-GB"/>
              </w:rPr>
              <w:t>February 05, 2026</w:t>
            </w:r>
          </w:p>
        </w:tc>
        <w:tc>
          <w:tcPr>
            <w:tcW w:w="2927" w:type="dxa"/>
          </w:tcPr>
          <w:p w14:paraId="64C56953" w14:textId="77777777" w:rsidR="00A370B5" w:rsidRPr="00E222D6" w:rsidRDefault="00A370B5" w:rsidP="007667BA">
            <w:pPr>
              <w:rPr>
                <w:highlight w:val="yellow"/>
                <w:lang w:val="en-GB"/>
              </w:rPr>
            </w:pPr>
            <w:r w:rsidRPr="00E222D6">
              <w:rPr>
                <w:highlight w:val="yellow"/>
                <w:lang w:val="en-GB"/>
              </w:rPr>
              <w:t>‘Policy information’ section added</w:t>
            </w:r>
          </w:p>
        </w:tc>
      </w:tr>
    </w:tbl>
    <w:p w14:paraId="6ABF60CB" w14:textId="77777777" w:rsidR="00A370B5" w:rsidRPr="00E222D6" w:rsidRDefault="00A370B5" w:rsidP="00A370B5">
      <w:pPr>
        <w:rPr>
          <w:highlight w:val="yellow"/>
          <w:lang w:val="en-GB"/>
        </w:rPr>
      </w:pPr>
    </w:p>
    <w:p w14:paraId="4AF142BB" w14:textId="7DC644A4" w:rsidR="00A370B5" w:rsidRPr="00E222D6" w:rsidRDefault="00A370B5" w:rsidP="00A370B5">
      <w:pPr>
        <w:jc w:val="both"/>
        <w:rPr>
          <w:highlight w:val="yellow"/>
          <w:lang w:val="en-GB"/>
        </w:rPr>
      </w:pPr>
      <w:r w:rsidRPr="00E222D6">
        <w:rPr>
          <w:highlight w:val="yellow"/>
          <w:lang w:val="en-GB"/>
        </w:rPr>
        <w:t>This policy has been approved by the Board of directors.</w:t>
      </w:r>
    </w:p>
    <w:p w14:paraId="2499EADC" w14:textId="77777777" w:rsidR="00A370B5" w:rsidRPr="00E222D6" w:rsidRDefault="00A370B5" w:rsidP="00A370B5">
      <w:pPr>
        <w:jc w:val="both"/>
        <w:rPr>
          <w:highlight w:val="yellow"/>
          <w:lang w:val="en-GB"/>
        </w:rPr>
      </w:pPr>
    </w:p>
    <w:p w14:paraId="3FD3B51E" w14:textId="1296AAFA" w:rsidR="00A370B5" w:rsidRDefault="00A370B5" w:rsidP="00A370B5">
      <w:pPr>
        <w:jc w:val="both"/>
        <w:rPr>
          <w:lang w:val="en-GB"/>
        </w:rPr>
      </w:pPr>
      <w:r w:rsidRPr="00E222D6">
        <w:rPr>
          <w:highlight w:val="yellow"/>
          <w:lang w:val="en-GB"/>
        </w:rPr>
        <w:t xml:space="preserve">The </w:t>
      </w:r>
      <w:r w:rsidR="00F15CAB">
        <w:rPr>
          <w:highlight w:val="yellow"/>
          <w:lang w:val="en-GB"/>
        </w:rPr>
        <w:t>Finance</w:t>
      </w:r>
      <w:r w:rsidRPr="00E222D6">
        <w:rPr>
          <w:highlight w:val="yellow"/>
          <w:lang w:val="en-GB"/>
        </w:rPr>
        <w:t xml:space="preserve"> department is responsible for implementing appropriate systems to ensure the principles set out in this policy are communicated and effectively respected across the Group. This policy will be reviewed annually and revised as needed.</w:t>
      </w:r>
    </w:p>
    <w:p w14:paraId="37D80668" w14:textId="77777777" w:rsidR="00A370B5" w:rsidRDefault="00A370B5" w:rsidP="00A370B5">
      <w:pPr>
        <w:jc w:val="both"/>
        <w:rPr>
          <w:lang w:val="en-GB"/>
        </w:rPr>
      </w:pPr>
    </w:p>
    <w:p w14:paraId="532E350F" w14:textId="77777777" w:rsidR="00A370B5" w:rsidRPr="00A370B5" w:rsidRDefault="00A370B5" w:rsidP="00A370B5">
      <w:pPr>
        <w:jc w:val="both"/>
        <w:rPr>
          <w:rFonts w:ascii="Arial" w:hAnsi="Arial" w:cs="Arial"/>
          <w:color w:val="201547"/>
          <w:sz w:val="20"/>
          <w:szCs w:val="20"/>
          <w:lang w:val="en-GB"/>
        </w:rPr>
      </w:pPr>
    </w:p>
    <w:p w14:paraId="2DE44608" w14:textId="77777777" w:rsidR="00A370B5" w:rsidRPr="00A370B5" w:rsidRDefault="00A370B5" w:rsidP="00A370B5"/>
    <w:p w14:paraId="3B08B104" w14:textId="77777777" w:rsidR="00233432" w:rsidRPr="00445B99" w:rsidRDefault="00233432" w:rsidP="001E5D41">
      <w:pPr>
        <w:pStyle w:val="Tekstzonderopmaak"/>
        <w:rPr>
          <w:rFonts w:ascii="HouseofHRAvenirNextLTPro-Regula" w:hAnsi="HouseofHRAvenirNextLTPro-Regula"/>
          <w:lang w:val="en-US"/>
        </w:rPr>
      </w:pPr>
    </w:p>
    <w:p w14:paraId="406A7BFB" w14:textId="77777777" w:rsidR="00233432" w:rsidRPr="00445B99" w:rsidRDefault="00233432" w:rsidP="001E5D41">
      <w:pPr>
        <w:pStyle w:val="Tekstzonderopmaak"/>
        <w:pBdr>
          <w:bottom w:val="single" w:sz="6" w:space="1" w:color="auto"/>
        </w:pBdr>
        <w:rPr>
          <w:rFonts w:ascii="HouseofHRAvenirNextLTPro-Regula" w:hAnsi="HouseofHRAvenirNextLTPro-Regula"/>
          <w:lang w:val="en-US"/>
        </w:rPr>
      </w:pPr>
    </w:p>
    <w:p w14:paraId="24695C4F" w14:textId="77777777" w:rsidR="00233432" w:rsidRPr="00445B99" w:rsidRDefault="00233432" w:rsidP="001E5D41">
      <w:pPr>
        <w:pStyle w:val="Tekstzonderopmaak"/>
        <w:rPr>
          <w:rFonts w:ascii="HouseofHRAvenirNextLTPro-Regula" w:hAnsi="HouseofHRAvenirNextLTPro-Regula"/>
          <w:lang w:val="en-US"/>
        </w:rPr>
      </w:pPr>
    </w:p>
    <w:p w14:paraId="4CC2B66C" w14:textId="77777777" w:rsidR="00C104A6" w:rsidRPr="00445B99" w:rsidRDefault="00C104A6" w:rsidP="00C104A6">
      <w:pPr>
        <w:autoSpaceDE w:val="0"/>
        <w:autoSpaceDN w:val="0"/>
        <w:adjustRightInd w:val="0"/>
        <w:spacing w:line="240" w:lineRule="auto"/>
        <w:rPr>
          <w:rFonts w:ascii="HouseofHRAvenirNextLTPro-Regula" w:hAnsi="HouseofHRAvenirNextLTPro-Regula" w:cs="Arial"/>
          <w:color w:val="000000" w:themeColor="text1"/>
          <w:sz w:val="24"/>
        </w:rPr>
      </w:pPr>
    </w:p>
    <w:p w14:paraId="3A4716DA" w14:textId="755D63A5" w:rsidR="004B04AF" w:rsidRPr="00445B99" w:rsidRDefault="004B04AF" w:rsidP="001E5D41">
      <w:pPr>
        <w:pStyle w:val="Tekstzonderopmaak"/>
        <w:rPr>
          <w:rFonts w:ascii="HouseofHRAvenirNextLTPro-Regula" w:hAnsi="HouseofHRAvenirNextLTPro-Regula"/>
          <w:b/>
          <w:bCs/>
          <w:lang w:val="en-US"/>
        </w:rPr>
      </w:pPr>
    </w:p>
    <w:p w14:paraId="14EE632C" w14:textId="77777777" w:rsidR="00233432" w:rsidRPr="00445B99" w:rsidRDefault="00233432" w:rsidP="001E5D41">
      <w:pPr>
        <w:pStyle w:val="Tekstzonderopmaak"/>
        <w:rPr>
          <w:rFonts w:ascii="HouseofHRAvenirNextLTPro-Regula" w:hAnsi="HouseofHRAvenirNextLTPro-Regula"/>
          <w:b/>
          <w:bCs/>
          <w:lang w:val="en-US"/>
        </w:rPr>
      </w:pPr>
    </w:p>
    <w:p w14:paraId="19B93837" w14:textId="77777777" w:rsidR="00233432" w:rsidRPr="00445B99" w:rsidRDefault="00233432" w:rsidP="001E5D41">
      <w:pPr>
        <w:pStyle w:val="Tekstzonderopmaak"/>
        <w:rPr>
          <w:rFonts w:ascii="HouseofHRAvenirNextLTPro-Regula" w:hAnsi="HouseofHRAvenirNextLTPro-Regula"/>
          <w:b/>
          <w:bCs/>
          <w:lang w:val="en-US"/>
        </w:rPr>
      </w:pPr>
    </w:p>
    <w:p w14:paraId="46955B8E" w14:textId="77777777" w:rsidR="00233432" w:rsidRPr="00445B99" w:rsidRDefault="00233432" w:rsidP="001E5D41">
      <w:pPr>
        <w:pStyle w:val="Tekstzonderopmaak"/>
        <w:rPr>
          <w:rFonts w:ascii="HouseofHRAvenirNextLTPro-Regula" w:hAnsi="HouseofHRAvenirNextLTPro-Regula"/>
          <w:b/>
          <w:bCs/>
          <w:lang w:val="en-US"/>
        </w:rPr>
      </w:pPr>
    </w:p>
    <w:sectPr w:rsidR="00233432" w:rsidRPr="00445B99" w:rsidSect="00E04658">
      <w:headerReference w:type="default" r:id="rId11"/>
      <w:footerReference w:type="default" r:id="rId12"/>
      <w:headerReference w:type="first" r:id="rId13"/>
      <w:footerReference w:type="first" r:id="rId14"/>
      <w:pgSz w:w="11900" w:h="16840"/>
      <w:pgMar w:top="2835" w:right="1694" w:bottom="28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44F1" w14:textId="77777777" w:rsidR="004D7D33" w:rsidRPr="00025CF4" w:rsidRDefault="004D7D33">
      <w:pPr>
        <w:spacing w:line="240" w:lineRule="auto"/>
      </w:pPr>
      <w:r w:rsidRPr="00025CF4">
        <w:separator/>
      </w:r>
    </w:p>
  </w:endnote>
  <w:endnote w:type="continuationSeparator" w:id="0">
    <w:p w14:paraId="70D2357A" w14:textId="77777777" w:rsidR="004D7D33" w:rsidRPr="00025CF4" w:rsidRDefault="004D7D33">
      <w:pPr>
        <w:spacing w:line="240" w:lineRule="auto"/>
      </w:pPr>
      <w:r w:rsidRPr="00025CF4">
        <w:continuationSeparator/>
      </w:r>
    </w:p>
  </w:endnote>
  <w:endnote w:type="continuationNotice" w:id="1">
    <w:p w14:paraId="691EA516" w14:textId="77777777" w:rsidR="004D7D33" w:rsidRPr="00025CF4" w:rsidRDefault="004D7D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ouseofHRAvenirNextLTPro-Regul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EYInterstate Light">
    <w:altName w:val="Calibri"/>
    <w:charset w:val="00"/>
    <w:family w:val="auto"/>
    <w:pitch w:val="variable"/>
    <w:sig w:usb0="A00002AF" w:usb1="5000206A" w:usb2="00000000" w:usb3="00000000" w:csb0="0000009F" w:csb1="00000000"/>
  </w:font>
  <w:font w:name="NeutrafaceText-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71803"/>
      <w:docPartObj>
        <w:docPartGallery w:val="Page Numbers (Bottom of Page)"/>
        <w:docPartUnique/>
      </w:docPartObj>
    </w:sdtPr>
    <w:sdtEndPr/>
    <w:sdtContent>
      <w:p w14:paraId="64564733" w14:textId="30940F85" w:rsidR="00132516" w:rsidRDefault="00132516">
        <w:pPr>
          <w:pStyle w:val="Voettekst"/>
          <w:jc w:val="right"/>
        </w:pPr>
        <w:r>
          <w:fldChar w:fldCharType="begin"/>
        </w:r>
        <w:r>
          <w:instrText>PAGE   \* MERGEFORMAT</w:instrText>
        </w:r>
        <w:r>
          <w:fldChar w:fldCharType="separate"/>
        </w:r>
        <w:r>
          <w:rPr>
            <w:lang w:val="nl-NL"/>
          </w:rPr>
          <w:t>2</w:t>
        </w:r>
        <w:r>
          <w:fldChar w:fldCharType="end"/>
        </w:r>
      </w:p>
    </w:sdtContent>
  </w:sdt>
  <w:p w14:paraId="0286A6E7" w14:textId="41654008" w:rsidR="008229CE" w:rsidRPr="00025CF4" w:rsidRDefault="008229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94B8" w14:textId="055D8D52" w:rsidR="00991423" w:rsidRDefault="00991423">
    <w:pPr>
      <w:pStyle w:val="Voettekst"/>
    </w:pPr>
    <w:r w:rsidRPr="00334D8A">
      <w:rPr>
        <w:noProof/>
      </w:rPr>
      <w:drawing>
        <wp:anchor distT="0" distB="0" distL="114300" distR="114300" simplePos="0" relativeHeight="251658241" behindDoc="0" locked="0" layoutInCell="1" allowOverlap="1" wp14:anchorId="20F6CA67" wp14:editId="68E8EF43">
          <wp:simplePos x="0" y="0"/>
          <wp:positionH relativeFrom="margin">
            <wp:posOffset>-701040</wp:posOffset>
          </wp:positionH>
          <wp:positionV relativeFrom="margin">
            <wp:posOffset>6913245</wp:posOffset>
          </wp:positionV>
          <wp:extent cx="7570470" cy="1908521"/>
          <wp:effectExtent l="0" t="0" r="0" b="0"/>
          <wp:wrapSquare wrapText="bothSides"/>
          <wp:docPr id="5" name="Afbeelding 5" descr="Afbeelding met schermopname, tekst,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schermopname, tekst, Lettertype&#10;&#10;Automatisch gegenereerde beschrijving"/>
                  <pic:cNvPicPr/>
                </pic:nvPicPr>
                <pic:blipFill>
                  <a:blip r:embed="rId1"/>
                  <a:stretch>
                    <a:fillRect/>
                  </a:stretch>
                </pic:blipFill>
                <pic:spPr>
                  <a:xfrm>
                    <a:off x="0" y="0"/>
                    <a:ext cx="7570470" cy="190852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06960" w14:textId="77777777" w:rsidR="004D7D33" w:rsidRPr="00025CF4" w:rsidRDefault="004D7D33">
      <w:pPr>
        <w:spacing w:line="240" w:lineRule="auto"/>
      </w:pPr>
      <w:r w:rsidRPr="00025CF4">
        <w:separator/>
      </w:r>
    </w:p>
  </w:footnote>
  <w:footnote w:type="continuationSeparator" w:id="0">
    <w:p w14:paraId="6E07FAA2" w14:textId="77777777" w:rsidR="004D7D33" w:rsidRPr="00025CF4" w:rsidRDefault="004D7D33">
      <w:pPr>
        <w:spacing w:line="240" w:lineRule="auto"/>
      </w:pPr>
      <w:r w:rsidRPr="00025CF4">
        <w:continuationSeparator/>
      </w:r>
    </w:p>
  </w:footnote>
  <w:footnote w:type="continuationNotice" w:id="1">
    <w:p w14:paraId="4B6F5D0F" w14:textId="77777777" w:rsidR="004D7D33" w:rsidRPr="00025CF4" w:rsidRDefault="004D7D33">
      <w:pPr>
        <w:spacing w:line="240" w:lineRule="auto"/>
      </w:pPr>
    </w:p>
  </w:footnote>
  <w:footnote w:id="2">
    <w:p w14:paraId="7A497F14" w14:textId="1DFA77E9" w:rsidR="00A971FE" w:rsidRDefault="00A971FE">
      <w:pPr>
        <w:pStyle w:val="Voetnoottekst"/>
      </w:pPr>
      <w:r>
        <w:rPr>
          <w:rStyle w:val="Voetnootmarkering"/>
        </w:rPr>
        <w:footnoteRef/>
      </w:r>
      <w:r>
        <w:t xml:space="preserve"> </w:t>
      </w:r>
      <w:r w:rsidRPr="002C792E">
        <w:rPr>
          <w:rFonts w:ascii="Avenir LT Std 35 Light" w:eastAsiaTheme="minorEastAsia" w:hAnsi="Avenir LT Std 35 Light"/>
          <w:color w:val="auto"/>
          <w:sz w:val="14"/>
          <w:szCs w:val="14"/>
          <w:lang w:eastAsia="nl-NL"/>
        </w:rPr>
        <w:t xml:space="preserve">This includes the </w:t>
      </w:r>
      <w:r w:rsidR="005914C8" w:rsidRPr="002C792E">
        <w:rPr>
          <w:rFonts w:ascii="Avenir LT Std 35 Light" w:eastAsiaTheme="minorEastAsia" w:hAnsi="Avenir LT Std 35 Light"/>
          <w:color w:val="auto"/>
          <w:sz w:val="14"/>
          <w:szCs w:val="14"/>
          <w:lang w:eastAsia="nl-NL"/>
        </w:rPr>
        <w:t xml:space="preserve">Global Reporting Initiative </w:t>
      </w:r>
      <w:r w:rsidR="00BD4682" w:rsidRPr="002C792E">
        <w:rPr>
          <w:rFonts w:ascii="Avenir LT Std 35 Light" w:eastAsiaTheme="minorEastAsia" w:hAnsi="Avenir LT Std 35 Light"/>
          <w:color w:val="auto"/>
          <w:sz w:val="14"/>
          <w:szCs w:val="14"/>
          <w:lang w:eastAsia="nl-NL"/>
        </w:rPr>
        <w:t xml:space="preserve">Reporting Requirements </w:t>
      </w:r>
      <w:r w:rsidRPr="002C792E">
        <w:rPr>
          <w:rFonts w:ascii="Avenir LT Std 35 Light" w:eastAsiaTheme="minorEastAsia" w:hAnsi="Avenir LT Std 35 Light"/>
          <w:color w:val="auto"/>
          <w:sz w:val="14"/>
          <w:szCs w:val="14"/>
          <w:lang w:eastAsia="nl-NL"/>
        </w:rPr>
        <w:t>Tax standard</w:t>
      </w:r>
      <w:r w:rsidR="005914C8" w:rsidRPr="002C792E">
        <w:rPr>
          <w:rFonts w:ascii="Avenir LT Std 35 Light" w:eastAsiaTheme="minorEastAsia" w:hAnsi="Avenir LT Std 35 Light"/>
          <w:color w:val="auto"/>
          <w:sz w:val="14"/>
          <w:szCs w:val="14"/>
          <w:lang w:eastAsia="nl-NL"/>
        </w:rPr>
        <w:t xml:space="preserve"> (GRI 207)</w:t>
      </w:r>
      <w:r w:rsidR="00622147" w:rsidRPr="002C792E">
        <w:rPr>
          <w:rFonts w:ascii="Avenir LT Std 35 Light" w:eastAsiaTheme="minorEastAsia" w:hAnsi="Avenir LT Std 35 Light"/>
          <w:color w:val="auto"/>
          <w:sz w:val="14"/>
          <w:szCs w:val="14"/>
          <w:lang w:eastAsia="nl-NL"/>
        </w:rPr>
        <w:t xml:space="preserve"> and </w:t>
      </w:r>
      <w:r w:rsidR="00484EDD" w:rsidRPr="002C792E">
        <w:rPr>
          <w:rFonts w:ascii="Avenir LT Std 35 Light" w:eastAsiaTheme="minorEastAsia" w:hAnsi="Avenir LT Std 35 Light"/>
          <w:color w:val="auto"/>
          <w:sz w:val="14"/>
          <w:szCs w:val="14"/>
          <w:lang w:eastAsia="nl-NL"/>
        </w:rPr>
        <w:t xml:space="preserve">European </w:t>
      </w:r>
      <w:r w:rsidR="00622147" w:rsidRPr="002C792E">
        <w:rPr>
          <w:rFonts w:ascii="Avenir LT Std 35 Light" w:eastAsiaTheme="minorEastAsia" w:hAnsi="Avenir LT Std 35 Light"/>
          <w:color w:val="auto"/>
          <w:sz w:val="14"/>
          <w:szCs w:val="14"/>
          <w:lang w:eastAsia="nl-NL"/>
        </w:rPr>
        <w:t>CSRD</w:t>
      </w:r>
      <w:r w:rsidR="00484EDD" w:rsidRPr="002C792E">
        <w:rPr>
          <w:rFonts w:ascii="Avenir LT Std 35 Light" w:eastAsiaTheme="minorEastAsia" w:hAnsi="Avenir LT Std 35 Light"/>
          <w:color w:val="auto"/>
          <w:sz w:val="14"/>
          <w:szCs w:val="14"/>
          <w:lang w:eastAsia="nl-NL"/>
        </w:rPr>
        <w:t xml:space="preserve"> Directive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A5D4" w14:textId="77777777" w:rsidR="008229CE" w:rsidRPr="00025CF4" w:rsidRDefault="003A03EC">
    <w:pPr>
      <w:pStyle w:val="Koptekst"/>
    </w:pPr>
    <w:r w:rsidRPr="00025CF4">
      <w:rPr>
        <w:noProof/>
      </w:rPr>
      <w:drawing>
        <wp:anchor distT="0" distB="0" distL="114300" distR="114300" simplePos="0" relativeHeight="251658240" behindDoc="0" locked="0" layoutInCell="1" allowOverlap="1" wp14:anchorId="3DB5CD18" wp14:editId="0289DD8C">
          <wp:simplePos x="0" y="0"/>
          <wp:positionH relativeFrom="margin">
            <wp:posOffset>-908685</wp:posOffset>
          </wp:positionH>
          <wp:positionV relativeFrom="margin">
            <wp:posOffset>-1809115</wp:posOffset>
          </wp:positionV>
          <wp:extent cx="7573010" cy="136207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573010" cy="1362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B703" w14:textId="75958D60" w:rsidR="00E04658" w:rsidRDefault="00E04658" w:rsidP="00E04658">
    <w:pPr>
      <w:pStyle w:val="Voettekst"/>
    </w:pPr>
    <w:r w:rsidRPr="00581A71">
      <w:rPr>
        <w:noProof/>
      </w:rPr>
      <w:drawing>
        <wp:anchor distT="0" distB="0" distL="114300" distR="114300" simplePos="0" relativeHeight="251658242" behindDoc="0" locked="0" layoutInCell="1" allowOverlap="1" wp14:anchorId="2D556123" wp14:editId="7D01AD15">
          <wp:simplePos x="0" y="0"/>
          <wp:positionH relativeFrom="page">
            <wp:align>left</wp:align>
          </wp:positionH>
          <wp:positionV relativeFrom="page">
            <wp:align>top</wp:align>
          </wp:positionV>
          <wp:extent cx="7573010" cy="1362075"/>
          <wp:effectExtent l="0" t="0" r="8890" b="9525"/>
          <wp:wrapSquare wrapText="bothSides"/>
          <wp:docPr id="1959789715" name="Afbeelding 1959789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573010" cy="1362075"/>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0D30B0E3" w14:textId="28AD8928" w:rsidR="00E04658" w:rsidRDefault="00E0465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EFE"/>
    <w:multiLevelType w:val="hybridMultilevel"/>
    <w:tmpl w:val="BC92D654"/>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 w15:restartNumberingAfterBreak="0">
    <w:nsid w:val="08B64EB2"/>
    <w:multiLevelType w:val="hybridMultilevel"/>
    <w:tmpl w:val="6E72A5C4"/>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 w15:restartNumberingAfterBreak="0">
    <w:nsid w:val="0D5E0C40"/>
    <w:multiLevelType w:val="hybridMultilevel"/>
    <w:tmpl w:val="27683984"/>
    <w:lvl w:ilvl="0" w:tplc="2400000F">
      <w:start w:val="1"/>
      <w:numFmt w:val="decimal"/>
      <w:lvlText w:val="%1."/>
      <w:lvlJc w:val="left"/>
      <w:pPr>
        <w:ind w:left="720" w:hanging="360"/>
      </w:p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3" w15:restartNumberingAfterBreak="0">
    <w:nsid w:val="0EFE5C6E"/>
    <w:multiLevelType w:val="hybridMultilevel"/>
    <w:tmpl w:val="6644A600"/>
    <w:lvl w:ilvl="0" w:tplc="F5F44AEA">
      <w:start w:val="3"/>
      <w:numFmt w:val="bullet"/>
      <w:lvlText w:val="-"/>
      <w:lvlJc w:val="left"/>
      <w:pPr>
        <w:ind w:left="720" w:hanging="360"/>
      </w:pPr>
      <w:rPr>
        <w:rFonts w:ascii="HouseofHRAvenirNextLTPro-Regula" w:eastAsia="Times New Roman" w:hAnsi="HouseofHRAvenirNextLTPro-Regula" w:cs="HouseofHRAvenirNextLTPro-Regula"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 w15:restartNumberingAfterBreak="0">
    <w:nsid w:val="0F630E31"/>
    <w:multiLevelType w:val="hybridMultilevel"/>
    <w:tmpl w:val="619869D2"/>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5" w15:restartNumberingAfterBreak="0">
    <w:nsid w:val="122F4683"/>
    <w:multiLevelType w:val="hybridMultilevel"/>
    <w:tmpl w:val="AF6A177A"/>
    <w:lvl w:ilvl="0" w:tplc="2400000F">
      <w:start w:val="1"/>
      <w:numFmt w:val="decimal"/>
      <w:lvlText w:val="%1."/>
      <w:lvlJc w:val="left"/>
      <w:pPr>
        <w:ind w:left="720" w:hanging="360"/>
      </w:p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6" w15:restartNumberingAfterBreak="0">
    <w:nsid w:val="131D66E2"/>
    <w:multiLevelType w:val="hybridMultilevel"/>
    <w:tmpl w:val="4E80DFD6"/>
    <w:lvl w:ilvl="0" w:tplc="08090019">
      <w:start w:val="1"/>
      <w:numFmt w:val="lowerLetter"/>
      <w:lvlText w:val="%1."/>
      <w:lvlJc w:val="left"/>
      <w:pPr>
        <w:ind w:left="1800" w:hanging="360"/>
      </w:p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7" w15:restartNumberingAfterBreak="0">
    <w:nsid w:val="13C105E0"/>
    <w:multiLevelType w:val="hybridMultilevel"/>
    <w:tmpl w:val="08B2DEB2"/>
    <w:lvl w:ilvl="0" w:tplc="24000001">
      <w:start w:val="1"/>
      <w:numFmt w:val="bullet"/>
      <w:lvlText w:val=""/>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8" w15:restartNumberingAfterBreak="0">
    <w:nsid w:val="165C78C8"/>
    <w:multiLevelType w:val="hybridMultilevel"/>
    <w:tmpl w:val="AA68F46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8411FAD"/>
    <w:multiLevelType w:val="singleLevel"/>
    <w:tmpl w:val="08130005"/>
    <w:lvl w:ilvl="0">
      <w:start w:val="1"/>
      <w:numFmt w:val="bullet"/>
      <w:lvlText w:val=""/>
      <w:lvlJc w:val="left"/>
      <w:pPr>
        <w:ind w:left="720" w:hanging="360"/>
      </w:pPr>
      <w:rPr>
        <w:rFonts w:ascii="Wingdings" w:hAnsi="Wingdings" w:hint="default"/>
        <w:color w:val="auto"/>
        <w:sz w:val="24"/>
      </w:rPr>
    </w:lvl>
  </w:abstractNum>
  <w:abstractNum w:abstractNumId="10" w15:restartNumberingAfterBreak="0">
    <w:nsid w:val="2678776A"/>
    <w:multiLevelType w:val="hybridMultilevel"/>
    <w:tmpl w:val="A81CDA92"/>
    <w:lvl w:ilvl="0" w:tplc="F5F44AEA">
      <w:numFmt w:val="bullet"/>
      <w:lvlText w:val="-"/>
      <w:lvlJc w:val="left"/>
      <w:pPr>
        <w:ind w:left="720" w:hanging="360"/>
      </w:pPr>
      <w:rPr>
        <w:rFonts w:ascii="HouseofHRAvenirNextLTPro-Regula" w:eastAsia="Times New Roman" w:hAnsi="HouseofHRAvenirNextLTPro-Regula" w:cs="HouseofHRAvenirNextLTPro-Regula"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1" w15:restartNumberingAfterBreak="0">
    <w:nsid w:val="2738530F"/>
    <w:multiLevelType w:val="hybridMultilevel"/>
    <w:tmpl w:val="86BA1C48"/>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2" w15:restartNumberingAfterBreak="0">
    <w:nsid w:val="27BA4C63"/>
    <w:multiLevelType w:val="hybridMultilevel"/>
    <w:tmpl w:val="6C86EEB2"/>
    <w:lvl w:ilvl="0" w:tplc="08090019">
      <w:start w:val="1"/>
      <w:numFmt w:val="lowerLetter"/>
      <w:lvlText w:val="%1."/>
      <w:lvlJc w:val="left"/>
      <w:pPr>
        <w:ind w:left="1800" w:hanging="360"/>
      </w:p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13" w15:restartNumberingAfterBreak="0">
    <w:nsid w:val="2FA57D4A"/>
    <w:multiLevelType w:val="hybridMultilevel"/>
    <w:tmpl w:val="B5E6C384"/>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4" w15:restartNumberingAfterBreak="0">
    <w:nsid w:val="32E6650E"/>
    <w:multiLevelType w:val="hybridMultilevel"/>
    <w:tmpl w:val="51489EAE"/>
    <w:lvl w:ilvl="0" w:tplc="2400000B">
      <w:start w:val="1"/>
      <w:numFmt w:val="bullet"/>
      <w:lvlText w:val=""/>
      <w:lvlJc w:val="left"/>
      <w:pPr>
        <w:ind w:left="760" w:hanging="360"/>
      </w:pPr>
      <w:rPr>
        <w:rFonts w:ascii="Wingdings" w:hAnsi="Wingdings" w:hint="default"/>
      </w:rPr>
    </w:lvl>
    <w:lvl w:ilvl="1" w:tplc="24000003" w:tentative="1">
      <w:start w:val="1"/>
      <w:numFmt w:val="bullet"/>
      <w:lvlText w:val="o"/>
      <w:lvlJc w:val="left"/>
      <w:pPr>
        <w:ind w:left="1480" w:hanging="360"/>
      </w:pPr>
      <w:rPr>
        <w:rFonts w:ascii="Courier New" w:hAnsi="Courier New" w:cs="Courier New" w:hint="default"/>
      </w:rPr>
    </w:lvl>
    <w:lvl w:ilvl="2" w:tplc="24000005" w:tentative="1">
      <w:start w:val="1"/>
      <w:numFmt w:val="bullet"/>
      <w:lvlText w:val=""/>
      <w:lvlJc w:val="left"/>
      <w:pPr>
        <w:ind w:left="2200" w:hanging="360"/>
      </w:pPr>
      <w:rPr>
        <w:rFonts w:ascii="Wingdings" w:hAnsi="Wingdings" w:hint="default"/>
      </w:rPr>
    </w:lvl>
    <w:lvl w:ilvl="3" w:tplc="24000001" w:tentative="1">
      <w:start w:val="1"/>
      <w:numFmt w:val="bullet"/>
      <w:lvlText w:val=""/>
      <w:lvlJc w:val="left"/>
      <w:pPr>
        <w:ind w:left="2920" w:hanging="360"/>
      </w:pPr>
      <w:rPr>
        <w:rFonts w:ascii="Symbol" w:hAnsi="Symbol" w:hint="default"/>
      </w:rPr>
    </w:lvl>
    <w:lvl w:ilvl="4" w:tplc="24000003" w:tentative="1">
      <w:start w:val="1"/>
      <w:numFmt w:val="bullet"/>
      <w:lvlText w:val="o"/>
      <w:lvlJc w:val="left"/>
      <w:pPr>
        <w:ind w:left="3640" w:hanging="360"/>
      </w:pPr>
      <w:rPr>
        <w:rFonts w:ascii="Courier New" w:hAnsi="Courier New" w:cs="Courier New" w:hint="default"/>
      </w:rPr>
    </w:lvl>
    <w:lvl w:ilvl="5" w:tplc="24000005" w:tentative="1">
      <w:start w:val="1"/>
      <w:numFmt w:val="bullet"/>
      <w:lvlText w:val=""/>
      <w:lvlJc w:val="left"/>
      <w:pPr>
        <w:ind w:left="4360" w:hanging="360"/>
      </w:pPr>
      <w:rPr>
        <w:rFonts w:ascii="Wingdings" w:hAnsi="Wingdings" w:hint="default"/>
      </w:rPr>
    </w:lvl>
    <w:lvl w:ilvl="6" w:tplc="24000001" w:tentative="1">
      <w:start w:val="1"/>
      <w:numFmt w:val="bullet"/>
      <w:lvlText w:val=""/>
      <w:lvlJc w:val="left"/>
      <w:pPr>
        <w:ind w:left="5080" w:hanging="360"/>
      </w:pPr>
      <w:rPr>
        <w:rFonts w:ascii="Symbol" w:hAnsi="Symbol" w:hint="default"/>
      </w:rPr>
    </w:lvl>
    <w:lvl w:ilvl="7" w:tplc="24000003" w:tentative="1">
      <w:start w:val="1"/>
      <w:numFmt w:val="bullet"/>
      <w:lvlText w:val="o"/>
      <w:lvlJc w:val="left"/>
      <w:pPr>
        <w:ind w:left="5800" w:hanging="360"/>
      </w:pPr>
      <w:rPr>
        <w:rFonts w:ascii="Courier New" w:hAnsi="Courier New" w:cs="Courier New" w:hint="default"/>
      </w:rPr>
    </w:lvl>
    <w:lvl w:ilvl="8" w:tplc="24000005" w:tentative="1">
      <w:start w:val="1"/>
      <w:numFmt w:val="bullet"/>
      <w:lvlText w:val=""/>
      <w:lvlJc w:val="left"/>
      <w:pPr>
        <w:ind w:left="6520" w:hanging="360"/>
      </w:pPr>
      <w:rPr>
        <w:rFonts w:ascii="Wingdings" w:hAnsi="Wingdings" w:hint="default"/>
      </w:rPr>
    </w:lvl>
  </w:abstractNum>
  <w:abstractNum w:abstractNumId="15" w15:restartNumberingAfterBreak="0">
    <w:nsid w:val="35606005"/>
    <w:multiLevelType w:val="singleLevel"/>
    <w:tmpl w:val="08130005"/>
    <w:lvl w:ilvl="0">
      <w:start w:val="1"/>
      <w:numFmt w:val="bullet"/>
      <w:lvlText w:val=""/>
      <w:lvlJc w:val="left"/>
      <w:pPr>
        <w:ind w:left="360" w:hanging="360"/>
      </w:pPr>
      <w:rPr>
        <w:rFonts w:ascii="Wingdings" w:hAnsi="Wingdings" w:hint="default"/>
        <w:color w:val="auto"/>
        <w:sz w:val="24"/>
      </w:rPr>
    </w:lvl>
  </w:abstractNum>
  <w:abstractNum w:abstractNumId="16" w15:restartNumberingAfterBreak="0">
    <w:nsid w:val="376E4053"/>
    <w:multiLevelType w:val="hybridMultilevel"/>
    <w:tmpl w:val="E0D25476"/>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7" w15:restartNumberingAfterBreak="0">
    <w:nsid w:val="38D449DD"/>
    <w:multiLevelType w:val="hybridMultilevel"/>
    <w:tmpl w:val="A3AC6E3A"/>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7001F9A"/>
    <w:multiLevelType w:val="hybridMultilevel"/>
    <w:tmpl w:val="C890F258"/>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9" w15:restartNumberingAfterBreak="0">
    <w:nsid w:val="48204302"/>
    <w:multiLevelType w:val="hybridMultilevel"/>
    <w:tmpl w:val="BA48D49E"/>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0" w15:restartNumberingAfterBreak="0">
    <w:nsid w:val="4E746B96"/>
    <w:multiLevelType w:val="hybridMultilevel"/>
    <w:tmpl w:val="6BAE5522"/>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1" w15:restartNumberingAfterBreak="0">
    <w:nsid w:val="5B545BF5"/>
    <w:multiLevelType w:val="hybridMultilevel"/>
    <w:tmpl w:val="05BA24C2"/>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2" w15:restartNumberingAfterBreak="0">
    <w:nsid w:val="642D65A7"/>
    <w:multiLevelType w:val="hybridMultilevel"/>
    <w:tmpl w:val="029C53BC"/>
    <w:lvl w:ilvl="0" w:tplc="A05429D4">
      <w:start w:val="3"/>
      <w:numFmt w:val="bullet"/>
      <w:lvlText w:val="-"/>
      <w:lvlJc w:val="left"/>
      <w:pPr>
        <w:ind w:left="720" w:hanging="360"/>
      </w:pPr>
      <w:rPr>
        <w:rFonts w:ascii="Arial" w:eastAsiaTheme="minorHAnsi" w:hAnsi="Arial" w:cs="Arial"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81368E4"/>
    <w:multiLevelType w:val="hybridMultilevel"/>
    <w:tmpl w:val="93407D34"/>
    <w:lvl w:ilvl="0" w:tplc="24000001">
      <w:start w:val="1"/>
      <w:numFmt w:val="bullet"/>
      <w:lvlText w:val=""/>
      <w:lvlJc w:val="left"/>
      <w:pPr>
        <w:ind w:left="360" w:hanging="360"/>
      </w:pPr>
      <w:rPr>
        <w:rFonts w:ascii="Symbol" w:hAnsi="Symbol" w:hint="default"/>
      </w:rPr>
    </w:lvl>
    <w:lvl w:ilvl="1" w:tplc="24000003" w:tentative="1">
      <w:start w:val="1"/>
      <w:numFmt w:val="bullet"/>
      <w:lvlText w:val="o"/>
      <w:lvlJc w:val="left"/>
      <w:pPr>
        <w:ind w:left="1080" w:hanging="360"/>
      </w:pPr>
      <w:rPr>
        <w:rFonts w:ascii="Courier New" w:hAnsi="Courier New" w:cs="Courier New" w:hint="default"/>
      </w:rPr>
    </w:lvl>
    <w:lvl w:ilvl="2" w:tplc="24000005" w:tentative="1">
      <w:start w:val="1"/>
      <w:numFmt w:val="bullet"/>
      <w:lvlText w:val=""/>
      <w:lvlJc w:val="left"/>
      <w:pPr>
        <w:ind w:left="1800" w:hanging="360"/>
      </w:pPr>
      <w:rPr>
        <w:rFonts w:ascii="Wingdings" w:hAnsi="Wingdings" w:hint="default"/>
      </w:rPr>
    </w:lvl>
    <w:lvl w:ilvl="3" w:tplc="24000001" w:tentative="1">
      <w:start w:val="1"/>
      <w:numFmt w:val="bullet"/>
      <w:lvlText w:val=""/>
      <w:lvlJc w:val="left"/>
      <w:pPr>
        <w:ind w:left="2520" w:hanging="360"/>
      </w:pPr>
      <w:rPr>
        <w:rFonts w:ascii="Symbol" w:hAnsi="Symbol" w:hint="default"/>
      </w:rPr>
    </w:lvl>
    <w:lvl w:ilvl="4" w:tplc="24000003" w:tentative="1">
      <w:start w:val="1"/>
      <w:numFmt w:val="bullet"/>
      <w:lvlText w:val="o"/>
      <w:lvlJc w:val="left"/>
      <w:pPr>
        <w:ind w:left="3240" w:hanging="360"/>
      </w:pPr>
      <w:rPr>
        <w:rFonts w:ascii="Courier New" w:hAnsi="Courier New" w:cs="Courier New" w:hint="default"/>
      </w:rPr>
    </w:lvl>
    <w:lvl w:ilvl="5" w:tplc="24000005" w:tentative="1">
      <w:start w:val="1"/>
      <w:numFmt w:val="bullet"/>
      <w:lvlText w:val=""/>
      <w:lvlJc w:val="left"/>
      <w:pPr>
        <w:ind w:left="3960" w:hanging="360"/>
      </w:pPr>
      <w:rPr>
        <w:rFonts w:ascii="Wingdings" w:hAnsi="Wingdings" w:hint="default"/>
      </w:rPr>
    </w:lvl>
    <w:lvl w:ilvl="6" w:tplc="24000001" w:tentative="1">
      <w:start w:val="1"/>
      <w:numFmt w:val="bullet"/>
      <w:lvlText w:val=""/>
      <w:lvlJc w:val="left"/>
      <w:pPr>
        <w:ind w:left="4680" w:hanging="360"/>
      </w:pPr>
      <w:rPr>
        <w:rFonts w:ascii="Symbol" w:hAnsi="Symbol" w:hint="default"/>
      </w:rPr>
    </w:lvl>
    <w:lvl w:ilvl="7" w:tplc="24000003" w:tentative="1">
      <w:start w:val="1"/>
      <w:numFmt w:val="bullet"/>
      <w:lvlText w:val="o"/>
      <w:lvlJc w:val="left"/>
      <w:pPr>
        <w:ind w:left="5400" w:hanging="360"/>
      </w:pPr>
      <w:rPr>
        <w:rFonts w:ascii="Courier New" w:hAnsi="Courier New" w:cs="Courier New" w:hint="default"/>
      </w:rPr>
    </w:lvl>
    <w:lvl w:ilvl="8" w:tplc="24000005" w:tentative="1">
      <w:start w:val="1"/>
      <w:numFmt w:val="bullet"/>
      <w:lvlText w:val=""/>
      <w:lvlJc w:val="left"/>
      <w:pPr>
        <w:ind w:left="6120" w:hanging="360"/>
      </w:pPr>
      <w:rPr>
        <w:rFonts w:ascii="Wingdings" w:hAnsi="Wingdings" w:hint="default"/>
      </w:rPr>
    </w:lvl>
  </w:abstractNum>
  <w:abstractNum w:abstractNumId="24" w15:restartNumberingAfterBreak="0">
    <w:nsid w:val="6DA05163"/>
    <w:multiLevelType w:val="hybridMultilevel"/>
    <w:tmpl w:val="00BA37E2"/>
    <w:lvl w:ilvl="0" w:tplc="2400000F">
      <w:start w:val="1"/>
      <w:numFmt w:val="decimal"/>
      <w:lvlText w:val="%1."/>
      <w:lvlJc w:val="left"/>
      <w:pPr>
        <w:ind w:left="720" w:hanging="360"/>
      </w:p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25" w15:restartNumberingAfterBreak="0">
    <w:nsid w:val="74343689"/>
    <w:multiLevelType w:val="hybridMultilevel"/>
    <w:tmpl w:val="4A2852B4"/>
    <w:lvl w:ilvl="0" w:tplc="F5F44AEA">
      <w:start w:val="3"/>
      <w:numFmt w:val="bullet"/>
      <w:lvlText w:val="-"/>
      <w:lvlJc w:val="left"/>
      <w:pPr>
        <w:ind w:left="720" w:hanging="360"/>
      </w:pPr>
      <w:rPr>
        <w:rFonts w:ascii="HouseofHRAvenirNextLTPro-Regula" w:eastAsia="Times New Roman" w:hAnsi="HouseofHRAvenirNextLTPro-Regula" w:cs="HouseofHRAvenirNextLTPro-Regula"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num w:numId="1" w16cid:durableId="404886787">
    <w:abstractNumId w:val="17"/>
  </w:num>
  <w:num w:numId="2" w16cid:durableId="1316567645">
    <w:abstractNumId w:val="15"/>
  </w:num>
  <w:num w:numId="3" w16cid:durableId="1052533458">
    <w:abstractNumId w:val="9"/>
  </w:num>
  <w:num w:numId="4" w16cid:durableId="1699812067">
    <w:abstractNumId w:val="8"/>
  </w:num>
  <w:num w:numId="5" w16cid:durableId="607129247">
    <w:abstractNumId w:val="11"/>
  </w:num>
  <w:num w:numId="6" w16cid:durableId="42826604">
    <w:abstractNumId w:val="13"/>
  </w:num>
  <w:num w:numId="7" w16cid:durableId="82343008">
    <w:abstractNumId w:val="18"/>
  </w:num>
  <w:num w:numId="8" w16cid:durableId="571425316">
    <w:abstractNumId w:val="12"/>
  </w:num>
  <w:num w:numId="9" w16cid:durableId="574511567">
    <w:abstractNumId w:val="14"/>
  </w:num>
  <w:num w:numId="10" w16cid:durableId="1039547075">
    <w:abstractNumId w:val="6"/>
  </w:num>
  <w:num w:numId="11" w16cid:durableId="132606098">
    <w:abstractNumId w:val="24"/>
  </w:num>
  <w:num w:numId="12" w16cid:durableId="951791408">
    <w:abstractNumId w:val="2"/>
  </w:num>
  <w:num w:numId="13" w16cid:durableId="2024699064">
    <w:abstractNumId w:val="5"/>
  </w:num>
  <w:num w:numId="14" w16cid:durableId="606959680">
    <w:abstractNumId w:val="7"/>
  </w:num>
  <w:num w:numId="15" w16cid:durableId="453449974">
    <w:abstractNumId w:val="19"/>
  </w:num>
  <w:num w:numId="16" w16cid:durableId="2044014354">
    <w:abstractNumId w:val="4"/>
  </w:num>
  <w:num w:numId="17" w16cid:durableId="1852449387">
    <w:abstractNumId w:val="1"/>
  </w:num>
  <w:num w:numId="18" w16cid:durableId="692075536">
    <w:abstractNumId w:val="23"/>
  </w:num>
  <w:num w:numId="19" w16cid:durableId="560137415">
    <w:abstractNumId w:val="25"/>
  </w:num>
  <w:num w:numId="20" w16cid:durableId="234244904">
    <w:abstractNumId w:val="3"/>
  </w:num>
  <w:num w:numId="21" w16cid:durableId="181669360">
    <w:abstractNumId w:val="21"/>
  </w:num>
  <w:num w:numId="22" w16cid:durableId="2517401">
    <w:abstractNumId w:val="10"/>
  </w:num>
  <w:num w:numId="23" w16cid:durableId="55906425">
    <w:abstractNumId w:val="16"/>
  </w:num>
  <w:num w:numId="24" w16cid:durableId="57676874">
    <w:abstractNumId w:val="0"/>
  </w:num>
  <w:num w:numId="25" w16cid:durableId="614361043">
    <w:abstractNumId w:val="20"/>
  </w:num>
  <w:num w:numId="26" w16cid:durableId="20665612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3EC"/>
    <w:rsid w:val="0000174A"/>
    <w:rsid w:val="0000252E"/>
    <w:rsid w:val="00002770"/>
    <w:rsid w:val="0000374A"/>
    <w:rsid w:val="000039E0"/>
    <w:rsid w:val="00004914"/>
    <w:rsid w:val="00006734"/>
    <w:rsid w:val="0001170E"/>
    <w:rsid w:val="00013540"/>
    <w:rsid w:val="00017962"/>
    <w:rsid w:val="0002005E"/>
    <w:rsid w:val="00020B00"/>
    <w:rsid w:val="00025CF4"/>
    <w:rsid w:val="00031A7F"/>
    <w:rsid w:val="00032E52"/>
    <w:rsid w:val="00034982"/>
    <w:rsid w:val="0004019B"/>
    <w:rsid w:val="00041973"/>
    <w:rsid w:val="00044CDA"/>
    <w:rsid w:val="000468E4"/>
    <w:rsid w:val="00051282"/>
    <w:rsid w:val="000543AC"/>
    <w:rsid w:val="0005507D"/>
    <w:rsid w:val="00057681"/>
    <w:rsid w:val="000631F3"/>
    <w:rsid w:val="000643F4"/>
    <w:rsid w:val="0006647C"/>
    <w:rsid w:val="00067FD4"/>
    <w:rsid w:val="000715A2"/>
    <w:rsid w:val="00071D72"/>
    <w:rsid w:val="00072CE2"/>
    <w:rsid w:val="00075EA8"/>
    <w:rsid w:val="0007657B"/>
    <w:rsid w:val="00077842"/>
    <w:rsid w:val="000801A3"/>
    <w:rsid w:val="00082333"/>
    <w:rsid w:val="0008390A"/>
    <w:rsid w:val="000852D7"/>
    <w:rsid w:val="00085328"/>
    <w:rsid w:val="00090742"/>
    <w:rsid w:val="00092B8A"/>
    <w:rsid w:val="000938CD"/>
    <w:rsid w:val="00095960"/>
    <w:rsid w:val="00097670"/>
    <w:rsid w:val="00097E00"/>
    <w:rsid w:val="000A2A8C"/>
    <w:rsid w:val="000B06C8"/>
    <w:rsid w:val="000B307A"/>
    <w:rsid w:val="000B73F2"/>
    <w:rsid w:val="000C1767"/>
    <w:rsid w:val="000C3B34"/>
    <w:rsid w:val="000D098B"/>
    <w:rsid w:val="000D4749"/>
    <w:rsid w:val="000D6B0D"/>
    <w:rsid w:val="000E083A"/>
    <w:rsid w:val="000E35FE"/>
    <w:rsid w:val="000E59A3"/>
    <w:rsid w:val="000E59D7"/>
    <w:rsid w:val="000E6F26"/>
    <w:rsid w:val="000E74EE"/>
    <w:rsid w:val="000E7B72"/>
    <w:rsid w:val="000F0DCD"/>
    <w:rsid w:val="000F524D"/>
    <w:rsid w:val="000F693D"/>
    <w:rsid w:val="001016EE"/>
    <w:rsid w:val="0010205A"/>
    <w:rsid w:val="00104694"/>
    <w:rsid w:val="00107848"/>
    <w:rsid w:val="00107A2A"/>
    <w:rsid w:val="00110357"/>
    <w:rsid w:val="00111407"/>
    <w:rsid w:val="00111AE3"/>
    <w:rsid w:val="00111D39"/>
    <w:rsid w:val="00112287"/>
    <w:rsid w:val="00114C7C"/>
    <w:rsid w:val="00114D9C"/>
    <w:rsid w:val="00116A7B"/>
    <w:rsid w:val="001173B0"/>
    <w:rsid w:val="00117D9D"/>
    <w:rsid w:val="00122B1C"/>
    <w:rsid w:val="00125452"/>
    <w:rsid w:val="00132516"/>
    <w:rsid w:val="00134785"/>
    <w:rsid w:val="00135747"/>
    <w:rsid w:val="00135DF0"/>
    <w:rsid w:val="00137318"/>
    <w:rsid w:val="00140BE1"/>
    <w:rsid w:val="00140C58"/>
    <w:rsid w:val="00141925"/>
    <w:rsid w:val="00142710"/>
    <w:rsid w:val="00146AD1"/>
    <w:rsid w:val="0014722E"/>
    <w:rsid w:val="00147D94"/>
    <w:rsid w:val="00150041"/>
    <w:rsid w:val="001517C4"/>
    <w:rsid w:val="001565C0"/>
    <w:rsid w:val="001605F8"/>
    <w:rsid w:val="00161C86"/>
    <w:rsid w:val="001643A9"/>
    <w:rsid w:val="00165013"/>
    <w:rsid w:val="00165E3F"/>
    <w:rsid w:val="00166A80"/>
    <w:rsid w:val="001708FD"/>
    <w:rsid w:val="001712AE"/>
    <w:rsid w:val="0017259D"/>
    <w:rsid w:val="00173076"/>
    <w:rsid w:val="00176F23"/>
    <w:rsid w:val="001838F5"/>
    <w:rsid w:val="001860DA"/>
    <w:rsid w:val="0019090F"/>
    <w:rsid w:val="00192572"/>
    <w:rsid w:val="00193421"/>
    <w:rsid w:val="001A1114"/>
    <w:rsid w:val="001A66F7"/>
    <w:rsid w:val="001A71AF"/>
    <w:rsid w:val="001B0A87"/>
    <w:rsid w:val="001B14F3"/>
    <w:rsid w:val="001B28A7"/>
    <w:rsid w:val="001B29B0"/>
    <w:rsid w:val="001B2CD2"/>
    <w:rsid w:val="001B31D9"/>
    <w:rsid w:val="001B600E"/>
    <w:rsid w:val="001B7EA7"/>
    <w:rsid w:val="001C1050"/>
    <w:rsid w:val="001C240A"/>
    <w:rsid w:val="001C3A7E"/>
    <w:rsid w:val="001C42E7"/>
    <w:rsid w:val="001C55C4"/>
    <w:rsid w:val="001C59F4"/>
    <w:rsid w:val="001C77FB"/>
    <w:rsid w:val="001D57EF"/>
    <w:rsid w:val="001E59AF"/>
    <w:rsid w:val="001E5D41"/>
    <w:rsid w:val="001E6739"/>
    <w:rsid w:val="001E7CD9"/>
    <w:rsid w:val="001F245D"/>
    <w:rsid w:val="001F4317"/>
    <w:rsid w:val="001F593F"/>
    <w:rsid w:val="00200087"/>
    <w:rsid w:val="00201BF3"/>
    <w:rsid w:val="0020342D"/>
    <w:rsid w:val="00206DB9"/>
    <w:rsid w:val="00211E27"/>
    <w:rsid w:val="00211F2A"/>
    <w:rsid w:val="002131C8"/>
    <w:rsid w:val="00213968"/>
    <w:rsid w:val="0021549F"/>
    <w:rsid w:val="0021772D"/>
    <w:rsid w:val="0022202E"/>
    <w:rsid w:val="00225B27"/>
    <w:rsid w:val="002268DB"/>
    <w:rsid w:val="00227985"/>
    <w:rsid w:val="00231DE0"/>
    <w:rsid w:val="00233432"/>
    <w:rsid w:val="002339B7"/>
    <w:rsid w:val="002368EE"/>
    <w:rsid w:val="00240AF8"/>
    <w:rsid w:val="00240EDE"/>
    <w:rsid w:val="002410E0"/>
    <w:rsid w:val="00241F25"/>
    <w:rsid w:val="00244450"/>
    <w:rsid w:val="00251B77"/>
    <w:rsid w:val="002539D7"/>
    <w:rsid w:val="00253C00"/>
    <w:rsid w:val="00263C3F"/>
    <w:rsid w:val="00264741"/>
    <w:rsid w:val="00272567"/>
    <w:rsid w:val="0027312F"/>
    <w:rsid w:val="0028369B"/>
    <w:rsid w:val="00293506"/>
    <w:rsid w:val="002941F4"/>
    <w:rsid w:val="002A0876"/>
    <w:rsid w:val="002A5E4C"/>
    <w:rsid w:val="002B2674"/>
    <w:rsid w:val="002B36C4"/>
    <w:rsid w:val="002B41ED"/>
    <w:rsid w:val="002B4987"/>
    <w:rsid w:val="002B6128"/>
    <w:rsid w:val="002C2955"/>
    <w:rsid w:val="002C3CCC"/>
    <w:rsid w:val="002C64E7"/>
    <w:rsid w:val="002C792E"/>
    <w:rsid w:val="002D0A37"/>
    <w:rsid w:val="002D252A"/>
    <w:rsid w:val="002D45C9"/>
    <w:rsid w:val="002E09B7"/>
    <w:rsid w:val="002E1739"/>
    <w:rsid w:val="002E17D8"/>
    <w:rsid w:val="002E20E2"/>
    <w:rsid w:val="002E5F1A"/>
    <w:rsid w:val="00304089"/>
    <w:rsid w:val="003048FB"/>
    <w:rsid w:val="003065BF"/>
    <w:rsid w:val="003113E4"/>
    <w:rsid w:val="003114DA"/>
    <w:rsid w:val="00311E0E"/>
    <w:rsid w:val="00314460"/>
    <w:rsid w:val="0032017B"/>
    <w:rsid w:val="00320CB3"/>
    <w:rsid w:val="00321498"/>
    <w:rsid w:val="00321924"/>
    <w:rsid w:val="00321ED9"/>
    <w:rsid w:val="00330250"/>
    <w:rsid w:val="00330F24"/>
    <w:rsid w:val="003344BE"/>
    <w:rsid w:val="00337DF7"/>
    <w:rsid w:val="00342901"/>
    <w:rsid w:val="00343704"/>
    <w:rsid w:val="00345077"/>
    <w:rsid w:val="00350896"/>
    <w:rsid w:val="0035145B"/>
    <w:rsid w:val="00352BDE"/>
    <w:rsid w:val="00353873"/>
    <w:rsid w:val="00354D53"/>
    <w:rsid w:val="00355B71"/>
    <w:rsid w:val="003560A5"/>
    <w:rsid w:val="00360FEE"/>
    <w:rsid w:val="003654B0"/>
    <w:rsid w:val="00366723"/>
    <w:rsid w:val="003704B9"/>
    <w:rsid w:val="003714B3"/>
    <w:rsid w:val="003724CF"/>
    <w:rsid w:val="00374368"/>
    <w:rsid w:val="0037454C"/>
    <w:rsid w:val="0037479B"/>
    <w:rsid w:val="003749AE"/>
    <w:rsid w:val="00374F2F"/>
    <w:rsid w:val="00375216"/>
    <w:rsid w:val="003823D1"/>
    <w:rsid w:val="003864F7"/>
    <w:rsid w:val="00386D65"/>
    <w:rsid w:val="003906A6"/>
    <w:rsid w:val="00390D27"/>
    <w:rsid w:val="0039220D"/>
    <w:rsid w:val="00395111"/>
    <w:rsid w:val="00395889"/>
    <w:rsid w:val="003976BC"/>
    <w:rsid w:val="003A03EC"/>
    <w:rsid w:val="003A0C38"/>
    <w:rsid w:val="003A40E3"/>
    <w:rsid w:val="003A5C04"/>
    <w:rsid w:val="003A6170"/>
    <w:rsid w:val="003A6FCC"/>
    <w:rsid w:val="003B201C"/>
    <w:rsid w:val="003B53B6"/>
    <w:rsid w:val="003C5DC9"/>
    <w:rsid w:val="003C79C2"/>
    <w:rsid w:val="003D6F47"/>
    <w:rsid w:val="003E0392"/>
    <w:rsid w:val="003E0AFB"/>
    <w:rsid w:val="003E13AB"/>
    <w:rsid w:val="003E22AD"/>
    <w:rsid w:val="003E395F"/>
    <w:rsid w:val="003E66E8"/>
    <w:rsid w:val="003F0C90"/>
    <w:rsid w:val="003F5B7D"/>
    <w:rsid w:val="003F6E20"/>
    <w:rsid w:val="00400591"/>
    <w:rsid w:val="004016FA"/>
    <w:rsid w:val="00402A6E"/>
    <w:rsid w:val="004033BC"/>
    <w:rsid w:val="00410FA6"/>
    <w:rsid w:val="004122C2"/>
    <w:rsid w:val="004125FD"/>
    <w:rsid w:val="00416935"/>
    <w:rsid w:val="0041739F"/>
    <w:rsid w:val="0042133B"/>
    <w:rsid w:val="00422536"/>
    <w:rsid w:val="00422F0F"/>
    <w:rsid w:val="004253EC"/>
    <w:rsid w:val="00430141"/>
    <w:rsid w:val="004325DF"/>
    <w:rsid w:val="00435D2F"/>
    <w:rsid w:val="004373FC"/>
    <w:rsid w:val="00442934"/>
    <w:rsid w:val="0044412D"/>
    <w:rsid w:val="00444238"/>
    <w:rsid w:val="00445B99"/>
    <w:rsid w:val="004465B3"/>
    <w:rsid w:val="004468D8"/>
    <w:rsid w:val="0045194D"/>
    <w:rsid w:val="00452CEC"/>
    <w:rsid w:val="00453D1B"/>
    <w:rsid w:val="00453EDF"/>
    <w:rsid w:val="00454EA9"/>
    <w:rsid w:val="0045551C"/>
    <w:rsid w:val="00456138"/>
    <w:rsid w:val="004627AB"/>
    <w:rsid w:val="00464C60"/>
    <w:rsid w:val="00470D0D"/>
    <w:rsid w:val="00473F96"/>
    <w:rsid w:val="00474B7C"/>
    <w:rsid w:val="00474BA8"/>
    <w:rsid w:val="00474EF7"/>
    <w:rsid w:val="00477EA6"/>
    <w:rsid w:val="00480C12"/>
    <w:rsid w:val="00481249"/>
    <w:rsid w:val="00481790"/>
    <w:rsid w:val="00483A12"/>
    <w:rsid w:val="00484EDD"/>
    <w:rsid w:val="00487C87"/>
    <w:rsid w:val="004917B5"/>
    <w:rsid w:val="0049384A"/>
    <w:rsid w:val="004A20D8"/>
    <w:rsid w:val="004A2466"/>
    <w:rsid w:val="004A2DE2"/>
    <w:rsid w:val="004A7762"/>
    <w:rsid w:val="004B04AF"/>
    <w:rsid w:val="004B20D2"/>
    <w:rsid w:val="004B73D6"/>
    <w:rsid w:val="004C7E1D"/>
    <w:rsid w:val="004D1979"/>
    <w:rsid w:val="004D2965"/>
    <w:rsid w:val="004D2F6D"/>
    <w:rsid w:val="004D6DE1"/>
    <w:rsid w:val="004D6E4B"/>
    <w:rsid w:val="004D7D33"/>
    <w:rsid w:val="004E188B"/>
    <w:rsid w:val="004E3B05"/>
    <w:rsid w:val="004E427C"/>
    <w:rsid w:val="004E6263"/>
    <w:rsid w:val="004F1DF2"/>
    <w:rsid w:val="004F36B0"/>
    <w:rsid w:val="004F3C0C"/>
    <w:rsid w:val="004F5114"/>
    <w:rsid w:val="00501C99"/>
    <w:rsid w:val="00511E17"/>
    <w:rsid w:val="00512CB7"/>
    <w:rsid w:val="005149CE"/>
    <w:rsid w:val="00516135"/>
    <w:rsid w:val="0051638D"/>
    <w:rsid w:val="00520061"/>
    <w:rsid w:val="00520AED"/>
    <w:rsid w:val="00520C0A"/>
    <w:rsid w:val="00524B81"/>
    <w:rsid w:val="00525C8B"/>
    <w:rsid w:val="0053049E"/>
    <w:rsid w:val="00532974"/>
    <w:rsid w:val="0053326A"/>
    <w:rsid w:val="005374D1"/>
    <w:rsid w:val="00537A32"/>
    <w:rsid w:val="00537C07"/>
    <w:rsid w:val="00541521"/>
    <w:rsid w:val="0054785F"/>
    <w:rsid w:val="0055329E"/>
    <w:rsid w:val="00554A8F"/>
    <w:rsid w:val="00560ADD"/>
    <w:rsid w:val="00560DE8"/>
    <w:rsid w:val="00565082"/>
    <w:rsid w:val="00565919"/>
    <w:rsid w:val="00567B5A"/>
    <w:rsid w:val="005708EF"/>
    <w:rsid w:val="00574463"/>
    <w:rsid w:val="00575ACA"/>
    <w:rsid w:val="00576E41"/>
    <w:rsid w:val="0058231D"/>
    <w:rsid w:val="005825C2"/>
    <w:rsid w:val="005833BC"/>
    <w:rsid w:val="0058581E"/>
    <w:rsid w:val="00587161"/>
    <w:rsid w:val="00587624"/>
    <w:rsid w:val="00590A55"/>
    <w:rsid w:val="005914C8"/>
    <w:rsid w:val="00592C80"/>
    <w:rsid w:val="00593D18"/>
    <w:rsid w:val="00594543"/>
    <w:rsid w:val="00595265"/>
    <w:rsid w:val="005A4B9C"/>
    <w:rsid w:val="005B135F"/>
    <w:rsid w:val="005B1C07"/>
    <w:rsid w:val="005B48AA"/>
    <w:rsid w:val="005B6B75"/>
    <w:rsid w:val="005B7D1A"/>
    <w:rsid w:val="005C03D9"/>
    <w:rsid w:val="005C2652"/>
    <w:rsid w:val="005C4315"/>
    <w:rsid w:val="005C4D4E"/>
    <w:rsid w:val="005C5152"/>
    <w:rsid w:val="005C584C"/>
    <w:rsid w:val="005C6602"/>
    <w:rsid w:val="005D2EA1"/>
    <w:rsid w:val="005D33A4"/>
    <w:rsid w:val="005E4494"/>
    <w:rsid w:val="005F0392"/>
    <w:rsid w:val="005F2DAA"/>
    <w:rsid w:val="005F591C"/>
    <w:rsid w:val="005F7956"/>
    <w:rsid w:val="00600F67"/>
    <w:rsid w:val="00603671"/>
    <w:rsid w:val="0060477F"/>
    <w:rsid w:val="0060549B"/>
    <w:rsid w:val="00610AAA"/>
    <w:rsid w:val="006144E4"/>
    <w:rsid w:val="006158B3"/>
    <w:rsid w:val="00616C60"/>
    <w:rsid w:val="006172ED"/>
    <w:rsid w:val="00617795"/>
    <w:rsid w:val="00622147"/>
    <w:rsid w:val="006236AB"/>
    <w:rsid w:val="00624870"/>
    <w:rsid w:val="00632439"/>
    <w:rsid w:val="006324C9"/>
    <w:rsid w:val="006340F1"/>
    <w:rsid w:val="00635CB6"/>
    <w:rsid w:val="00637010"/>
    <w:rsid w:val="006415AA"/>
    <w:rsid w:val="0064291C"/>
    <w:rsid w:val="00646496"/>
    <w:rsid w:val="00651BCB"/>
    <w:rsid w:val="006579AE"/>
    <w:rsid w:val="00665BBD"/>
    <w:rsid w:val="00666DB9"/>
    <w:rsid w:val="00667FA5"/>
    <w:rsid w:val="0067060E"/>
    <w:rsid w:val="00670B39"/>
    <w:rsid w:val="006728FB"/>
    <w:rsid w:val="00682DBB"/>
    <w:rsid w:val="006901D7"/>
    <w:rsid w:val="00691F96"/>
    <w:rsid w:val="006927CA"/>
    <w:rsid w:val="006A0B72"/>
    <w:rsid w:val="006A3543"/>
    <w:rsid w:val="006A755A"/>
    <w:rsid w:val="006C225A"/>
    <w:rsid w:val="006C3517"/>
    <w:rsid w:val="006C3C03"/>
    <w:rsid w:val="006D0C9F"/>
    <w:rsid w:val="006D1106"/>
    <w:rsid w:val="006D141D"/>
    <w:rsid w:val="006D2D5A"/>
    <w:rsid w:val="006D438F"/>
    <w:rsid w:val="006D6153"/>
    <w:rsid w:val="006D62D0"/>
    <w:rsid w:val="006D6BF1"/>
    <w:rsid w:val="006E2505"/>
    <w:rsid w:val="006F06BF"/>
    <w:rsid w:val="006F24C6"/>
    <w:rsid w:val="006F34DF"/>
    <w:rsid w:val="006F5D6F"/>
    <w:rsid w:val="006F6679"/>
    <w:rsid w:val="006F78E0"/>
    <w:rsid w:val="00703DDF"/>
    <w:rsid w:val="00704416"/>
    <w:rsid w:val="00707F0A"/>
    <w:rsid w:val="00712A78"/>
    <w:rsid w:val="00712CB8"/>
    <w:rsid w:val="007139B9"/>
    <w:rsid w:val="00714BCA"/>
    <w:rsid w:val="00715B2B"/>
    <w:rsid w:val="0071648A"/>
    <w:rsid w:val="00716A6F"/>
    <w:rsid w:val="00720070"/>
    <w:rsid w:val="007206E1"/>
    <w:rsid w:val="00722A24"/>
    <w:rsid w:val="00722C10"/>
    <w:rsid w:val="007258D5"/>
    <w:rsid w:val="00726BBD"/>
    <w:rsid w:val="00727CAE"/>
    <w:rsid w:val="00730745"/>
    <w:rsid w:val="0073535A"/>
    <w:rsid w:val="007424CF"/>
    <w:rsid w:val="0074326B"/>
    <w:rsid w:val="007447FB"/>
    <w:rsid w:val="00744F95"/>
    <w:rsid w:val="0075147A"/>
    <w:rsid w:val="0075225E"/>
    <w:rsid w:val="00752933"/>
    <w:rsid w:val="00753D26"/>
    <w:rsid w:val="00760D59"/>
    <w:rsid w:val="00764A2C"/>
    <w:rsid w:val="00764D35"/>
    <w:rsid w:val="00766A9C"/>
    <w:rsid w:val="00766BA2"/>
    <w:rsid w:val="007673A7"/>
    <w:rsid w:val="00772249"/>
    <w:rsid w:val="00773C40"/>
    <w:rsid w:val="007748A4"/>
    <w:rsid w:val="007817D9"/>
    <w:rsid w:val="00781D8F"/>
    <w:rsid w:val="00782960"/>
    <w:rsid w:val="007835F6"/>
    <w:rsid w:val="007843DE"/>
    <w:rsid w:val="00786FE8"/>
    <w:rsid w:val="007874CB"/>
    <w:rsid w:val="0079205D"/>
    <w:rsid w:val="00792189"/>
    <w:rsid w:val="007960C9"/>
    <w:rsid w:val="007974CA"/>
    <w:rsid w:val="00797627"/>
    <w:rsid w:val="007A049E"/>
    <w:rsid w:val="007A3396"/>
    <w:rsid w:val="007A79B5"/>
    <w:rsid w:val="007B2A27"/>
    <w:rsid w:val="007B4261"/>
    <w:rsid w:val="007B461B"/>
    <w:rsid w:val="007B56A7"/>
    <w:rsid w:val="007B64FD"/>
    <w:rsid w:val="007C2F37"/>
    <w:rsid w:val="007C370E"/>
    <w:rsid w:val="007C5D31"/>
    <w:rsid w:val="007D1038"/>
    <w:rsid w:val="007D3DFA"/>
    <w:rsid w:val="007D5910"/>
    <w:rsid w:val="007D5ECE"/>
    <w:rsid w:val="007D71FE"/>
    <w:rsid w:val="007E3FFE"/>
    <w:rsid w:val="007E49A6"/>
    <w:rsid w:val="007E6307"/>
    <w:rsid w:val="007E6CBD"/>
    <w:rsid w:val="007F0F42"/>
    <w:rsid w:val="007F114D"/>
    <w:rsid w:val="007F15FE"/>
    <w:rsid w:val="007F27F5"/>
    <w:rsid w:val="007F42B6"/>
    <w:rsid w:val="007F5633"/>
    <w:rsid w:val="0080030C"/>
    <w:rsid w:val="0080363E"/>
    <w:rsid w:val="00805267"/>
    <w:rsid w:val="00805514"/>
    <w:rsid w:val="00807592"/>
    <w:rsid w:val="008078CA"/>
    <w:rsid w:val="00811F90"/>
    <w:rsid w:val="00813B8B"/>
    <w:rsid w:val="00815555"/>
    <w:rsid w:val="008229CE"/>
    <w:rsid w:val="0082331A"/>
    <w:rsid w:val="008237C0"/>
    <w:rsid w:val="00824633"/>
    <w:rsid w:val="00824AAC"/>
    <w:rsid w:val="00825B62"/>
    <w:rsid w:val="00826105"/>
    <w:rsid w:val="00827172"/>
    <w:rsid w:val="00832664"/>
    <w:rsid w:val="00836C6B"/>
    <w:rsid w:val="00843F6A"/>
    <w:rsid w:val="0084483D"/>
    <w:rsid w:val="00844CCA"/>
    <w:rsid w:val="0084779B"/>
    <w:rsid w:val="008500AF"/>
    <w:rsid w:val="008500B2"/>
    <w:rsid w:val="00850F92"/>
    <w:rsid w:val="00851D54"/>
    <w:rsid w:val="008530B6"/>
    <w:rsid w:val="008562F7"/>
    <w:rsid w:val="00856F13"/>
    <w:rsid w:val="008610EA"/>
    <w:rsid w:val="00861670"/>
    <w:rsid w:val="00861FFF"/>
    <w:rsid w:val="00864375"/>
    <w:rsid w:val="0086494D"/>
    <w:rsid w:val="00866A74"/>
    <w:rsid w:val="00867EC3"/>
    <w:rsid w:val="00872F5A"/>
    <w:rsid w:val="00876742"/>
    <w:rsid w:val="008770C6"/>
    <w:rsid w:val="008771CB"/>
    <w:rsid w:val="00885184"/>
    <w:rsid w:val="00887FCA"/>
    <w:rsid w:val="00893E01"/>
    <w:rsid w:val="008A3E51"/>
    <w:rsid w:val="008A4C08"/>
    <w:rsid w:val="008A4C2D"/>
    <w:rsid w:val="008A5C0B"/>
    <w:rsid w:val="008A5ED9"/>
    <w:rsid w:val="008A6412"/>
    <w:rsid w:val="008A6B13"/>
    <w:rsid w:val="008B2750"/>
    <w:rsid w:val="008B4C30"/>
    <w:rsid w:val="008B5276"/>
    <w:rsid w:val="008B70FE"/>
    <w:rsid w:val="008C0688"/>
    <w:rsid w:val="008C3338"/>
    <w:rsid w:val="008C3A87"/>
    <w:rsid w:val="008C495D"/>
    <w:rsid w:val="008C76D1"/>
    <w:rsid w:val="008D120C"/>
    <w:rsid w:val="008D5F86"/>
    <w:rsid w:val="008D754E"/>
    <w:rsid w:val="008E018A"/>
    <w:rsid w:val="008E1F05"/>
    <w:rsid w:val="008E4124"/>
    <w:rsid w:val="008E5BD5"/>
    <w:rsid w:val="008E6751"/>
    <w:rsid w:val="008F26CF"/>
    <w:rsid w:val="008F613B"/>
    <w:rsid w:val="008F6FBB"/>
    <w:rsid w:val="009019F5"/>
    <w:rsid w:val="00904CE5"/>
    <w:rsid w:val="00904F7D"/>
    <w:rsid w:val="00906897"/>
    <w:rsid w:val="00906EF6"/>
    <w:rsid w:val="00911747"/>
    <w:rsid w:val="00913A88"/>
    <w:rsid w:val="00921993"/>
    <w:rsid w:val="00923947"/>
    <w:rsid w:val="00925814"/>
    <w:rsid w:val="00926C92"/>
    <w:rsid w:val="00932F98"/>
    <w:rsid w:val="00933D2B"/>
    <w:rsid w:val="009348AE"/>
    <w:rsid w:val="00934FC3"/>
    <w:rsid w:val="00937C5D"/>
    <w:rsid w:val="009411D8"/>
    <w:rsid w:val="0094259D"/>
    <w:rsid w:val="0094376F"/>
    <w:rsid w:val="00944040"/>
    <w:rsid w:val="00946D94"/>
    <w:rsid w:val="00950FE3"/>
    <w:rsid w:val="00953BE6"/>
    <w:rsid w:val="00954ED6"/>
    <w:rsid w:val="00955C38"/>
    <w:rsid w:val="00957FAE"/>
    <w:rsid w:val="00960BC5"/>
    <w:rsid w:val="00961FD1"/>
    <w:rsid w:val="00964941"/>
    <w:rsid w:val="00964EC9"/>
    <w:rsid w:val="00974EE3"/>
    <w:rsid w:val="0097678C"/>
    <w:rsid w:val="0098334E"/>
    <w:rsid w:val="00986852"/>
    <w:rsid w:val="009873D5"/>
    <w:rsid w:val="00990A4B"/>
    <w:rsid w:val="00991423"/>
    <w:rsid w:val="00991DF4"/>
    <w:rsid w:val="009979F2"/>
    <w:rsid w:val="009A4194"/>
    <w:rsid w:val="009A4985"/>
    <w:rsid w:val="009A54F5"/>
    <w:rsid w:val="009B2C78"/>
    <w:rsid w:val="009B5371"/>
    <w:rsid w:val="009B6E99"/>
    <w:rsid w:val="009C13B2"/>
    <w:rsid w:val="009C4014"/>
    <w:rsid w:val="009C6E94"/>
    <w:rsid w:val="009C703A"/>
    <w:rsid w:val="009C76FF"/>
    <w:rsid w:val="009D0322"/>
    <w:rsid w:val="009D08F5"/>
    <w:rsid w:val="009D154A"/>
    <w:rsid w:val="009D18C8"/>
    <w:rsid w:val="009D2458"/>
    <w:rsid w:val="009D2DC3"/>
    <w:rsid w:val="009D4BD4"/>
    <w:rsid w:val="009D501A"/>
    <w:rsid w:val="009D5F93"/>
    <w:rsid w:val="009D65B5"/>
    <w:rsid w:val="009D7236"/>
    <w:rsid w:val="009E1AF8"/>
    <w:rsid w:val="009E238E"/>
    <w:rsid w:val="009E28C3"/>
    <w:rsid w:val="009E5289"/>
    <w:rsid w:val="009F0AF4"/>
    <w:rsid w:val="009F17CF"/>
    <w:rsid w:val="009F3D19"/>
    <w:rsid w:val="009F6A12"/>
    <w:rsid w:val="00A07937"/>
    <w:rsid w:val="00A07A3B"/>
    <w:rsid w:val="00A129B9"/>
    <w:rsid w:val="00A15FA8"/>
    <w:rsid w:val="00A20EFF"/>
    <w:rsid w:val="00A22846"/>
    <w:rsid w:val="00A23416"/>
    <w:rsid w:val="00A23B2A"/>
    <w:rsid w:val="00A2679E"/>
    <w:rsid w:val="00A26CB5"/>
    <w:rsid w:val="00A3012C"/>
    <w:rsid w:val="00A30652"/>
    <w:rsid w:val="00A350E6"/>
    <w:rsid w:val="00A370B5"/>
    <w:rsid w:val="00A41736"/>
    <w:rsid w:val="00A433E8"/>
    <w:rsid w:val="00A44A0A"/>
    <w:rsid w:val="00A46E65"/>
    <w:rsid w:val="00A5046F"/>
    <w:rsid w:val="00A514FE"/>
    <w:rsid w:val="00A53725"/>
    <w:rsid w:val="00A53B3C"/>
    <w:rsid w:val="00A55A69"/>
    <w:rsid w:val="00A55EBF"/>
    <w:rsid w:val="00A567E2"/>
    <w:rsid w:val="00A57708"/>
    <w:rsid w:val="00A616D1"/>
    <w:rsid w:val="00A62ED6"/>
    <w:rsid w:val="00A63956"/>
    <w:rsid w:val="00A64982"/>
    <w:rsid w:val="00A66226"/>
    <w:rsid w:val="00A66D2F"/>
    <w:rsid w:val="00A6708D"/>
    <w:rsid w:val="00A707B7"/>
    <w:rsid w:val="00A728A3"/>
    <w:rsid w:val="00A74A8C"/>
    <w:rsid w:val="00A77AF9"/>
    <w:rsid w:val="00A77C99"/>
    <w:rsid w:val="00A83D18"/>
    <w:rsid w:val="00A87689"/>
    <w:rsid w:val="00A917CD"/>
    <w:rsid w:val="00A95395"/>
    <w:rsid w:val="00A957AB"/>
    <w:rsid w:val="00A95822"/>
    <w:rsid w:val="00A95D92"/>
    <w:rsid w:val="00A971FE"/>
    <w:rsid w:val="00A976D5"/>
    <w:rsid w:val="00AA19B9"/>
    <w:rsid w:val="00AA3C82"/>
    <w:rsid w:val="00AA687C"/>
    <w:rsid w:val="00AA7D3F"/>
    <w:rsid w:val="00AB2202"/>
    <w:rsid w:val="00AB2CB9"/>
    <w:rsid w:val="00AB2F78"/>
    <w:rsid w:val="00AB4197"/>
    <w:rsid w:val="00AB5134"/>
    <w:rsid w:val="00AB7E75"/>
    <w:rsid w:val="00AC74D2"/>
    <w:rsid w:val="00AD4455"/>
    <w:rsid w:val="00AD4E7C"/>
    <w:rsid w:val="00AD7318"/>
    <w:rsid w:val="00AD7FA9"/>
    <w:rsid w:val="00AE1C33"/>
    <w:rsid w:val="00AE3E9C"/>
    <w:rsid w:val="00AF6931"/>
    <w:rsid w:val="00AF7716"/>
    <w:rsid w:val="00B0011F"/>
    <w:rsid w:val="00B00348"/>
    <w:rsid w:val="00B01593"/>
    <w:rsid w:val="00B0235C"/>
    <w:rsid w:val="00B056C2"/>
    <w:rsid w:val="00B07253"/>
    <w:rsid w:val="00B12AFD"/>
    <w:rsid w:val="00B14401"/>
    <w:rsid w:val="00B213C1"/>
    <w:rsid w:val="00B22E01"/>
    <w:rsid w:val="00B3193E"/>
    <w:rsid w:val="00B32695"/>
    <w:rsid w:val="00B329F0"/>
    <w:rsid w:val="00B33A83"/>
    <w:rsid w:val="00B359B6"/>
    <w:rsid w:val="00B3674B"/>
    <w:rsid w:val="00B42174"/>
    <w:rsid w:val="00B438D1"/>
    <w:rsid w:val="00B45EF8"/>
    <w:rsid w:val="00B46811"/>
    <w:rsid w:val="00B52C7C"/>
    <w:rsid w:val="00B536FC"/>
    <w:rsid w:val="00B5495D"/>
    <w:rsid w:val="00B55264"/>
    <w:rsid w:val="00B60574"/>
    <w:rsid w:val="00B6166E"/>
    <w:rsid w:val="00B711BB"/>
    <w:rsid w:val="00B7197A"/>
    <w:rsid w:val="00B75304"/>
    <w:rsid w:val="00B76836"/>
    <w:rsid w:val="00B809C3"/>
    <w:rsid w:val="00B80A81"/>
    <w:rsid w:val="00B83723"/>
    <w:rsid w:val="00B84854"/>
    <w:rsid w:val="00B85621"/>
    <w:rsid w:val="00B8733E"/>
    <w:rsid w:val="00B87D86"/>
    <w:rsid w:val="00B90EA3"/>
    <w:rsid w:val="00B96A2B"/>
    <w:rsid w:val="00B97B45"/>
    <w:rsid w:val="00BA05B6"/>
    <w:rsid w:val="00BA179C"/>
    <w:rsid w:val="00BA4B34"/>
    <w:rsid w:val="00BA6524"/>
    <w:rsid w:val="00BC0E24"/>
    <w:rsid w:val="00BC176F"/>
    <w:rsid w:val="00BC2414"/>
    <w:rsid w:val="00BC40E6"/>
    <w:rsid w:val="00BC44FA"/>
    <w:rsid w:val="00BC601D"/>
    <w:rsid w:val="00BD0142"/>
    <w:rsid w:val="00BD0977"/>
    <w:rsid w:val="00BD2D4E"/>
    <w:rsid w:val="00BD2F54"/>
    <w:rsid w:val="00BD4682"/>
    <w:rsid w:val="00BE0B46"/>
    <w:rsid w:val="00BE3A4E"/>
    <w:rsid w:val="00BE7AE7"/>
    <w:rsid w:val="00BF2244"/>
    <w:rsid w:val="00BF33E4"/>
    <w:rsid w:val="00BF4FB7"/>
    <w:rsid w:val="00BF793E"/>
    <w:rsid w:val="00C00039"/>
    <w:rsid w:val="00C003FA"/>
    <w:rsid w:val="00C00F64"/>
    <w:rsid w:val="00C03D20"/>
    <w:rsid w:val="00C04986"/>
    <w:rsid w:val="00C04BB2"/>
    <w:rsid w:val="00C0624E"/>
    <w:rsid w:val="00C104A6"/>
    <w:rsid w:val="00C27DB3"/>
    <w:rsid w:val="00C30568"/>
    <w:rsid w:val="00C30944"/>
    <w:rsid w:val="00C30CF2"/>
    <w:rsid w:val="00C35A9C"/>
    <w:rsid w:val="00C373D5"/>
    <w:rsid w:val="00C4403B"/>
    <w:rsid w:val="00C615CC"/>
    <w:rsid w:val="00C63163"/>
    <w:rsid w:val="00C63D20"/>
    <w:rsid w:val="00C653E0"/>
    <w:rsid w:val="00C65DB0"/>
    <w:rsid w:val="00C67C22"/>
    <w:rsid w:val="00C7194A"/>
    <w:rsid w:val="00C737FA"/>
    <w:rsid w:val="00C8114E"/>
    <w:rsid w:val="00C8412B"/>
    <w:rsid w:val="00C90D4B"/>
    <w:rsid w:val="00C93BBB"/>
    <w:rsid w:val="00C93ED3"/>
    <w:rsid w:val="00CA04A9"/>
    <w:rsid w:val="00CA0994"/>
    <w:rsid w:val="00CA7250"/>
    <w:rsid w:val="00CB1A52"/>
    <w:rsid w:val="00CB66C6"/>
    <w:rsid w:val="00CB69AF"/>
    <w:rsid w:val="00CB6E1A"/>
    <w:rsid w:val="00CB71F8"/>
    <w:rsid w:val="00CC0AAC"/>
    <w:rsid w:val="00CC1B38"/>
    <w:rsid w:val="00CC66B5"/>
    <w:rsid w:val="00CC786D"/>
    <w:rsid w:val="00CD0972"/>
    <w:rsid w:val="00CD2EA9"/>
    <w:rsid w:val="00CD3390"/>
    <w:rsid w:val="00CD5B26"/>
    <w:rsid w:val="00CE032B"/>
    <w:rsid w:val="00CE11B8"/>
    <w:rsid w:val="00CE1423"/>
    <w:rsid w:val="00CE1986"/>
    <w:rsid w:val="00CE3BA4"/>
    <w:rsid w:val="00CE3CD6"/>
    <w:rsid w:val="00CE7D88"/>
    <w:rsid w:val="00CF329F"/>
    <w:rsid w:val="00CF3D6C"/>
    <w:rsid w:val="00CF55EA"/>
    <w:rsid w:val="00D01C6B"/>
    <w:rsid w:val="00D03889"/>
    <w:rsid w:val="00D04BBE"/>
    <w:rsid w:val="00D06684"/>
    <w:rsid w:val="00D06BCD"/>
    <w:rsid w:val="00D11D38"/>
    <w:rsid w:val="00D20625"/>
    <w:rsid w:val="00D20BD9"/>
    <w:rsid w:val="00D20DA3"/>
    <w:rsid w:val="00D23162"/>
    <w:rsid w:val="00D2774E"/>
    <w:rsid w:val="00D314E4"/>
    <w:rsid w:val="00D31AA7"/>
    <w:rsid w:val="00D32172"/>
    <w:rsid w:val="00D32A50"/>
    <w:rsid w:val="00D33CA1"/>
    <w:rsid w:val="00D35496"/>
    <w:rsid w:val="00D460D5"/>
    <w:rsid w:val="00D462C6"/>
    <w:rsid w:val="00D46CC7"/>
    <w:rsid w:val="00D4757E"/>
    <w:rsid w:val="00D52436"/>
    <w:rsid w:val="00D540BF"/>
    <w:rsid w:val="00D55E66"/>
    <w:rsid w:val="00D569D2"/>
    <w:rsid w:val="00D61113"/>
    <w:rsid w:val="00D65A8F"/>
    <w:rsid w:val="00D66B48"/>
    <w:rsid w:val="00D703AB"/>
    <w:rsid w:val="00D8485E"/>
    <w:rsid w:val="00D8550E"/>
    <w:rsid w:val="00D86C3B"/>
    <w:rsid w:val="00D935DB"/>
    <w:rsid w:val="00D95EBD"/>
    <w:rsid w:val="00DA0ED8"/>
    <w:rsid w:val="00DA119E"/>
    <w:rsid w:val="00DA4085"/>
    <w:rsid w:val="00DA7515"/>
    <w:rsid w:val="00DB755B"/>
    <w:rsid w:val="00DB7A12"/>
    <w:rsid w:val="00DD07A3"/>
    <w:rsid w:val="00DD1892"/>
    <w:rsid w:val="00DD4525"/>
    <w:rsid w:val="00DD5421"/>
    <w:rsid w:val="00DE1678"/>
    <w:rsid w:val="00DE1D76"/>
    <w:rsid w:val="00DE5314"/>
    <w:rsid w:val="00DF4C60"/>
    <w:rsid w:val="00DF6B5F"/>
    <w:rsid w:val="00E034D6"/>
    <w:rsid w:val="00E04658"/>
    <w:rsid w:val="00E07118"/>
    <w:rsid w:val="00E11ECC"/>
    <w:rsid w:val="00E14903"/>
    <w:rsid w:val="00E16EF2"/>
    <w:rsid w:val="00E22713"/>
    <w:rsid w:val="00E23AD9"/>
    <w:rsid w:val="00E23ECE"/>
    <w:rsid w:val="00E240E5"/>
    <w:rsid w:val="00E3014D"/>
    <w:rsid w:val="00E30292"/>
    <w:rsid w:val="00E334F4"/>
    <w:rsid w:val="00E3584F"/>
    <w:rsid w:val="00E368AC"/>
    <w:rsid w:val="00E37366"/>
    <w:rsid w:val="00E374FC"/>
    <w:rsid w:val="00E3782C"/>
    <w:rsid w:val="00E405B7"/>
    <w:rsid w:val="00E43059"/>
    <w:rsid w:val="00E4351C"/>
    <w:rsid w:val="00E4695C"/>
    <w:rsid w:val="00E46DD0"/>
    <w:rsid w:val="00E55C1A"/>
    <w:rsid w:val="00E55F78"/>
    <w:rsid w:val="00E613AC"/>
    <w:rsid w:val="00E6291A"/>
    <w:rsid w:val="00E62D63"/>
    <w:rsid w:val="00E64055"/>
    <w:rsid w:val="00E65BD6"/>
    <w:rsid w:val="00E66947"/>
    <w:rsid w:val="00E703E1"/>
    <w:rsid w:val="00E715A5"/>
    <w:rsid w:val="00E74EC9"/>
    <w:rsid w:val="00E75E25"/>
    <w:rsid w:val="00E8081E"/>
    <w:rsid w:val="00E80E96"/>
    <w:rsid w:val="00E80F76"/>
    <w:rsid w:val="00E82E54"/>
    <w:rsid w:val="00E83848"/>
    <w:rsid w:val="00E843A4"/>
    <w:rsid w:val="00E856E1"/>
    <w:rsid w:val="00E947BA"/>
    <w:rsid w:val="00E973CA"/>
    <w:rsid w:val="00EA316F"/>
    <w:rsid w:val="00EB0DBD"/>
    <w:rsid w:val="00EB1061"/>
    <w:rsid w:val="00EB544D"/>
    <w:rsid w:val="00EB6DB5"/>
    <w:rsid w:val="00EB7311"/>
    <w:rsid w:val="00EC0B1A"/>
    <w:rsid w:val="00EC2679"/>
    <w:rsid w:val="00EC2A66"/>
    <w:rsid w:val="00EC48A9"/>
    <w:rsid w:val="00ED5075"/>
    <w:rsid w:val="00EE1A2E"/>
    <w:rsid w:val="00EE3512"/>
    <w:rsid w:val="00EE7F44"/>
    <w:rsid w:val="00EF1C9F"/>
    <w:rsid w:val="00EF3134"/>
    <w:rsid w:val="00EF33F8"/>
    <w:rsid w:val="00EF5B0E"/>
    <w:rsid w:val="00EF66CB"/>
    <w:rsid w:val="00F04439"/>
    <w:rsid w:val="00F11256"/>
    <w:rsid w:val="00F11AA5"/>
    <w:rsid w:val="00F11DF1"/>
    <w:rsid w:val="00F15CAB"/>
    <w:rsid w:val="00F20B77"/>
    <w:rsid w:val="00F217CD"/>
    <w:rsid w:val="00F21966"/>
    <w:rsid w:val="00F22F5D"/>
    <w:rsid w:val="00F27307"/>
    <w:rsid w:val="00F303D8"/>
    <w:rsid w:val="00F31ED7"/>
    <w:rsid w:val="00F331B4"/>
    <w:rsid w:val="00F352B2"/>
    <w:rsid w:val="00F36D87"/>
    <w:rsid w:val="00F40555"/>
    <w:rsid w:val="00F42B5B"/>
    <w:rsid w:val="00F45CEB"/>
    <w:rsid w:val="00F57AAB"/>
    <w:rsid w:val="00F61A41"/>
    <w:rsid w:val="00F72E08"/>
    <w:rsid w:val="00F75E41"/>
    <w:rsid w:val="00F76296"/>
    <w:rsid w:val="00F76EED"/>
    <w:rsid w:val="00F7749C"/>
    <w:rsid w:val="00F77A2D"/>
    <w:rsid w:val="00F77DCF"/>
    <w:rsid w:val="00F82117"/>
    <w:rsid w:val="00F83775"/>
    <w:rsid w:val="00F83825"/>
    <w:rsid w:val="00F83862"/>
    <w:rsid w:val="00F85EFB"/>
    <w:rsid w:val="00F861F0"/>
    <w:rsid w:val="00F90E6A"/>
    <w:rsid w:val="00F95CB8"/>
    <w:rsid w:val="00F97763"/>
    <w:rsid w:val="00F97F4E"/>
    <w:rsid w:val="00FA1725"/>
    <w:rsid w:val="00FA1B45"/>
    <w:rsid w:val="00FA3AFB"/>
    <w:rsid w:val="00FA46D1"/>
    <w:rsid w:val="00FA69AE"/>
    <w:rsid w:val="00FA6B27"/>
    <w:rsid w:val="00FB14A4"/>
    <w:rsid w:val="00FB3F8D"/>
    <w:rsid w:val="00FB5EFB"/>
    <w:rsid w:val="00FC03CF"/>
    <w:rsid w:val="00FC26B5"/>
    <w:rsid w:val="00FC36F2"/>
    <w:rsid w:val="00FC50AF"/>
    <w:rsid w:val="00FC5C40"/>
    <w:rsid w:val="00FC7486"/>
    <w:rsid w:val="00FD754F"/>
    <w:rsid w:val="00FE0263"/>
    <w:rsid w:val="00FE02C0"/>
    <w:rsid w:val="00FE0C4E"/>
    <w:rsid w:val="00FE0CBF"/>
    <w:rsid w:val="00FE1E79"/>
    <w:rsid w:val="00FE4CD0"/>
    <w:rsid w:val="00FE55FC"/>
    <w:rsid w:val="00FE5DA5"/>
    <w:rsid w:val="00FF0798"/>
    <w:rsid w:val="00FF33C0"/>
    <w:rsid w:val="00FF43D9"/>
    <w:rsid w:val="00FF492D"/>
    <w:rsid w:val="00FF7084"/>
  </w:rsids>
  <m:mathPr>
    <m:mathFont m:val="Cambria Math"/>
    <m:brkBin m:val="before"/>
    <m:brkBinSub m:val="--"/>
    <m:smallFrac m:val="0"/>
    <m:dispDef/>
    <m:lMargin m:val="0"/>
    <m:rMargin m:val="0"/>
    <m:defJc m:val="centerGroup"/>
    <m:wrapIndent m:val="1440"/>
    <m:intLim m:val="subSup"/>
    <m:naryLim m:val="undOvr"/>
  </m:mathPr>
  <w:themeFontLang w:val="fr-FR"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08B8"/>
  <w15:chartTrackingRefBased/>
  <w15:docId w15:val="{AB78A659-0B07-44D3-863F-C108334C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03EC"/>
    <w:pPr>
      <w:spacing w:after="0" w:line="260" w:lineRule="exact"/>
    </w:pPr>
    <w:rPr>
      <w:rFonts w:ascii="Avenir LT Std 35 Light" w:eastAsiaTheme="minorEastAsia" w:hAnsi="Avenir LT Std 35 Light" w:cstheme="minorBidi"/>
      <w:kern w:val="0"/>
      <w:sz w:val="18"/>
      <w:szCs w:val="24"/>
      <w:lang w:eastAsia="nl-NL"/>
      <w14:ligatures w14:val="none"/>
    </w:rPr>
  </w:style>
  <w:style w:type="paragraph" w:styleId="Kop1">
    <w:name w:val="heading 1"/>
    <w:basedOn w:val="Standaard"/>
    <w:next w:val="Standaard"/>
    <w:link w:val="Kop1Char"/>
    <w:uiPriority w:val="9"/>
    <w:qFormat/>
    <w:rsid w:val="003A03EC"/>
    <w:pPr>
      <w:keepNext/>
      <w:keepLines/>
      <w:spacing w:before="240"/>
      <w:outlineLvl w:val="0"/>
    </w:pPr>
    <w:rPr>
      <w:rFonts w:ascii="Avenir LT Std 65 Medium" w:eastAsiaTheme="majorEastAsia" w:hAnsi="Avenir LT Std 65 Medium" w:cstheme="majorBidi"/>
      <w:color w:val="201547"/>
      <w:sz w:val="40"/>
      <w:szCs w:val="32"/>
    </w:rPr>
  </w:style>
  <w:style w:type="paragraph" w:styleId="Kop2">
    <w:name w:val="heading 2"/>
    <w:basedOn w:val="Standaard"/>
    <w:next w:val="Standaard"/>
    <w:link w:val="Kop2Char"/>
    <w:uiPriority w:val="1"/>
    <w:unhideWhenUsed/>
    <w:qFormat/>
    <w:rsid w:val="003A03EC"/>
    <w:pPr>
      <w:keepNext/>
      <w:keepLines/>
      <w:spacing w:before="40"/>
      <w:outlineLvl w:val="1"/>
    </w:pPr>
    <w:rPr>
      <w:rFonts w:ascii="Avenir LT Std 65 Medium" w:eastAsiaTheme="majorEastAsia" w:hAnsi="Avenir LT Std 65 Medium" w:cstheme="majorBidi"/>
      <w:color w:val="E0004D"/>
      <w:szCs w:val="26"/>
    </w:rPr>
  </w:style>
  <w:style w:type="paragraph" w:styleId="Kop3">
    <w:name w:val="heading 3"/>
    <w:basedOn w:val="Standaard"/>
    <w:next w:val="Standaard"/>
    <w:link w:val="Kop3Char"/>
    <w:uiPriority w:val="1"/>
    <w:unhideWhenUsed/>
    <w:qFormat/>
    <w:rsid w:val="003A03EC"/>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3EC"/>
    <w:rPr>
      <w:rFonts w:ascii="Avenir LT Std 65 Medium" w:eastAsiaTheme="majorEastAsia" w:hAnsi="Avenir LT Std 65 Medium" w:cstheme="majorBidi"/>
      <w:color w:val="201547"/>
      <w:kern w:val="0"/>
      <w:sz w:val="40"/>
      <w:szCs w:val="32"/>
      <w:lang w:val="nl-NL" w:eastAsia="nl-NL"/>
      <w14:ligatures w14:val="none"/>
    </w:rPr>
  </w:style>
  <w:style w:type="character" w:customStyle="1" w:styleId="Kop2Char">
    <w:name w:val="Kop 2 Char"/>
    <w:basedOn w:val="Standaardalinea-lettertype"/>
    <w:link w:val="Kop2"/>
    <w:uiPriority w:val="1"/>
    <w:rsid w:val="003A03EC"/>
    <w:rPr>
      <w:rFonts w:ascii="Avenir LT Std 65 Medium" w:eastAsiaTheme="majorEastAsia" w:hAnsi="Avenir LT Std 65 Medium" w:cstheme="majorBidi"/>
      <w:color w:val="E0004D"/>
      <w:kern w:val="0"/>
      <w:sz w:val="18"/>
      <w:szCs w:val="26"/>
      <w:lang w:val="nl-NL" w:eastAsia="nl-NL"/>
      <w14:ligatures w14:val="none"/>
    </w:rPr>
  </w:style>
  <w:style w:type="character" w:customStyle="1" w:styleId="Kop3Char">
    <w:name w:val="Kop 3 Char"/>
    <w:basedOn w:val="Standaardalinea-lettertype"/>
    <w:link w:val="Kop3"/>
    <w:uiPriority w:val="1"/>
    <w:rsid w:val="003A03EC"/>
    <w:rPr>
      <w:rFonts w:asciiTheme="majorHAnsi" w:eastAsiaTheme="majorEastAsia" w:hAnsiTheme="majorHAnsi" w:cstheme="majorBidi"/>
      <w:color w:val="1F3763" w:themeColor="accent1" w:themeShade="7F"/>
      <w:kern w:val="0"/>
      <w:sz w:val="24"/>
      <w:szCs w:val="24"/>
      <w:lang w:val="nl-NL" w:eastAsia="nl-NL"/>
      <w14:ligatures w14:val="none"/>
    </w:rPr>
  </w:style>
  <w:style w:type="paragraph" w:styleId="Koptekst">
    <w:name w:val="header"/>
    <w:basedOn w:val="Standaard"/>
    <w:link w:val="KoptekstChar"/>
    <w:uiPriority w:val="99"/>
    <w:unhideWhenUsed/>
    <w:rsid w:val="003A03EC"/>
    <w:pPr>
      <w:tabs>
        <w:tab w:val="center" w:pos="4536"/>
        <w:tab w:val="right" w:pos="9072"/>
      </w:tabs>
    </w:pPr>
  </w:style>
  <w:style w:type="character" w:customStyle="1" w:styleId="KoptekstChar">
    <w:name w:val="Koptekst Char"/>
    <w:basedOn w:val="Standaardalinea-lettertype"/>
    <w:link w:val="Koptekst"/>
    <w:uiPriority w:val="99"/>
    <w:rsid w:val="003A03EC"/>
    <w:rPr>
      <w:rFonts w:ascii="Avenir LT Std 35 Light" w:eastAsiaTheme="minorEastAsia" w:hAnsi="Avenir LT Std 35 Light" w:cstheme="minorBidi"/>
      <w:kern w:val="0"/>
      <w:sz w:val="18"/>
      <w:szCs w:val="24"/>
      <w:lang w:val="nl-NL" w:eastAsia="nl-NL"/>
      <w14:ligatures w14:val="none"/>
    </w:rPr>
  </w:style>
  <w:style w:type="paragraph" w:styleId="Voettekst">
    <w:name w:val="footer"/>
    <w:basedOn w:val="Standaard"/>
    <w:link w:val="VoettekstChar"/>
    <w:uiPriority w:val="99"/>
    <w:unhideWhenUsed/>
    <w:rsid w:val="003A03EC"/>
    <w:pPr>
      <w:tabs>
        <w:tab w:val="center" w:pos="4536"/>
        <w:tab w:val="right" w:pos="9072"/>
      </w:tabs>
    </w:pPr>
  </w:style>
  <w:style w:type="character" w:customStyle="1" w:styleId="VoettekstChar">
    <w:name w:val="Voettekst Char"/>
    <w:basedOn w:val="Standaardalinea-lettertype"/>
    <w:link w:val="Voettekst"/>
    <w:uiPriority w:val="99"/>
    <w:rsid w:val="003A03EC"/>
    <w:rPr>
      <w:rFonts w:ascii="Avenir LT Std 35 Light" w:eastAsiaTheme="minorEastAsia" w:hAnsi="Avenir LT Std 35 Light" w:cstheme="minorBidi"/>
      <w:kern w:val="0"/>
      <w:sz w:val="18"/>
      <w:szCs w:val="24"/>
      <w:lang w:val="nl-NL" w:eastAsia="nl-NL"/>
      <w14:ligatures w14:val="none"/>
    </w:rPr>
  </w:style>
  <w:style w:type="paragraph" w:styleId="Normaalweb">
    <w:name w:val="Normal (Web)"/>
    <w:basedOn w:val="Standaard"/>
    <w:uiPriority w:val="99"/>
    <w:unhideWhenUsed/>
    <w:rsid w:val="003A03EC"/>
    <w:pPr>
      <w:spacing w:before="100" w:beforeAutospacing="1" w:after="100" w:afterAutospacing="1" w:line="240" w:lineRule="auto"/>
    </w:pPr>
    <w:rPr>
      <w:rFonts w:ascii="Times New Roman" w:eastAsia="Times New Roman" w:hAnsi="Times New Roman" w:cs="Times New Roman"/>
      <w:sz w:val="24"/>
      <w:lang w:val="nl-BE"/>
    </w:rPr>
  </w:style>
  <w:style w:type="paragraph" w:styleId="Lijstalinea">
    <w:name w:val="List Paragraph"/>
    <w:basedOn w:val="Standaard"/>
    <w:uiPriority w:val="34"/>
    <w:qFormat/>
    <w:rsid w:val="003A03EC"/>
    <w:pPr>
      <w:spacing w:after="160" w:line="259" w:lineRule="auto"/>
      <w:ind w:left="720"/>
      <w:contextualSpacing/>
    </w:pPr>
    <w:rPr>
      <w:rFonts w:asciiTheme="minorHAnsi" w:eastAsiaTheme="minorHAnsi" w:hAnsiTheme="minorHAnsi"/>
      <w:sz w:val="22"/>
      <w:szCs w:val="22"/>
      <w:lang w:val="en-GB" w:eastAsia="en-US"/>
    </w:rPr>
  </w:style>
  <w:style w:type="character" w:styleId="Verwijzingopmerking">
    <w:name w:val="annotation reference"/>
    <w:basedOn w:val="Standaardalinea-lettertype"/>
    <w:uiPriority w:val="99"/>
    <w:semiHidden/>
    <w:unhideWhenUsed/>
    <w:rsid w:val="003A03EC"/>
    <w:rPr>
      <w:sz w:val="16"/>
      <w:szCs w:val="16"/>
    </w:rPr>
  </w:style>
  <w:style w:type="paragraph" w:styleId="Tekstopmerking">
    <w:name w:val="annotation text"/>
    <w:basedOn w:val="Standaard"/>
    <w:link w:val="TekstopmerkingChar"/>
    <w:uiPriority w:val="99"/>
    <w:unhideWhenUsed/>
    <w:rsid w:val="003A03EC"/>
    <w:pPr>
      <w:spacing w:after="160" w:line="240" w:lineRule="auto"/>
    </w:pPr>
    <w:rPr>
      <w:rFonts w:asciiTheme="minorHAnsi" w:eastAsiaTheme="minorHAnsi" w:hAnsiTheme="minorHAnsi"/>
      <w:sz w:val="20"/>
      <w:szCs w:val="20"/>
      <w:lang w:val="en-GB" w:eastAsia="en-US"/>
    </w:rPr>
  </w:style>
  <w:style w:type="character" w:customStyle="1" w:styleId="TekstopmerkingChar">
    <w:name w:val="Tekst opmerking Char"/>
    <w:basedOn w:val="Standaardalinea-lettertype"/>
    <w:link w:val="Tekstopmerking"/>
    <w:uiPriority w:val="99"/>
    <w:rsid w:val="003A03EC"/>
    <w:rPr>
      <w:rFonts w:eastAsiaTheme="minorHAnsi" w:hAnsiTheme="minorHAnsi" w:cstheme="minorBidi"/>
      <w:kern w:val="0"/>
      <w:sz w:val="20"/>
      <w:szCs w:val="20"/>
      <w:lang w:val="en-GB"/>
      <w14:ligatures w14:val="none"/>
    </w:rPr>
  </w:style>
  <w:style w:type="table" w:styleId="Tabelraster">
    <w:name w:val="Table Grid"/>
    <w:basedOn w:val="Standaardtabel"/>
    <w:rsid w:val="003A03EC"/>
    <w:pPr>
      <w:spacing w:after="0" w:line="240" w:lineRule="auto"/>
    </w:pPr>
    <w:rPr>
      <w:rFonts w:eastAsiaTheme="minorHAnsi" w:hAnsiTheme="minorHAnsi" w:cstheme="minorBid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aliases w:val="fn,FT,ft,SD Footnote Text,Footnote Text AG,Footnote,Style 50,Char,註腳文字 字元,fn 字元,註腳文字 字元1,fn 字元1,fn 字元 字元,Footnote text,Style 19,Footnote Text Char1 Char Char,Footnote Text Char Char1 Char Char,FT Char Char1 Char Char,Ft,FT Char Char1"/>
    <w:basedOn w:val="Standaard"/>
    <w:link w:val="VoetnoottekstChar"/>
    <w:uiPriority w:val="99"/>
    <w:qFormat/>
    <w:rsid w:val="006F5D6F"/>
    <w:pPr>
      <w:spacing w:line="240" w:lineRule="auto"/>
      <w:jc w:val="both"/>
    </w:pPr>
    <w:rPr>
      <w:rFonts w:ascii="EYInterstate Light" w:eastAsiaTheme="minorHAnsi" w:hAnsi="EYInterstate Light"/>
      <w:color w:val="595959"/>
      <w:sz w:val="16"/>
      <w:szCs w:val="20"/>
      <w:lang w:eastAsia="en-US"/>
    </w:rPr>
  </w:style>
  <w:style w:type="character" w:customStyle="1" w:styleId="VoetnoottekstChar">
    <w:name w:val="Voetnoottekst Char"/>
    <w:aliases w:val="fn Char,FT Char,ft Char,SD Footnote Text Char,Footnote Text AG Char,Footnote Char,Style 50 Char,Char Char,註腳文字 字元 Char,fn 字元 Char,註腳文字 字元1 Char,fn 字元1 Char,fn 字元 字元 Char,Footnote text Char,Style 19 Char,FT Char Char1 Char Char Char"/>
    <w:basedOn w:val="Standaardalinea-lettertype"/>
    <w:link w:val="Voetnoottekst"/>
    <w:uiPriority w:val="99"/>
    <w:rsid w:val="006F5D6F"/>
    <w:rPr>
      <w:rFonts w:ascii="EYInterstate Light" w:eastAsiaTheme="minorHAnsi" w:hAnsi="EYInterstate Light" w:cstheme="minorBidi"/>
      <w:color w:val="595959"/>
      <w:kern w:val="0"/>
      <w:sz w:val="16"/>
      <w:szCs w:val="20"/>
      <w14:ligatures w14:val="none"/>
    </w:rPr>
  </w:style>
  <w:style w:type="character" w:styleId="Voetnootmarkering">
    <w:name w:val="footnote reference"/>
    <w:aliases w:val="fr,Style 49,Style 18,text + Black,o,Style 5,Footnote Referece,Footnote Reference new,Footnote EY Interstate,Footnote ReferenceW,EY Footnote Reference,Default,Footnote EYI,fr +,Sty,EY Footnote,Footnote Arial 8 single space,49,fr1"/>
    <w:basedOn w:val="Standaardalinea-lettertype"/>
    <w:uiPriority w:val="99"/>
    <w:unhideWhenUsed/>
    <w:qFormat/>
    <w:rsid w:val="006F5D6F"/>
    <w:rPr>
      <w:vertAlign w:val="superscript"/>
    </w:rPr>
  </w:style>
  <w:style w:type="character" w:styleId="Zwaar">
    <w:name w:val="Strong"/>
    <w:basedOn w:val="Standaardalinea-lettertype"/>
    <w:uiPriority w:val="22"/>
    <w:qFormat/>
    <w:rsid w:val="0075225E"/>
    <w:rPr>
      <w:b/>
      <w:bCs/>
    </w:rPr>
  </w:style>
  <w:style w:type="paragraph" w:styleId="Tekstzonderopmaak">
    <w:name w:val="Plain Text"/>
    <w:basedOn w:val="Standaard"/>
    <w:link w:val="TekstzonderopmaakChar"/>
    <w:uiPriority w:val="99"/>
    <w:semiHidden/>
    <w:unhideWhenUsed/>
    <w:rsid w:val="00CE11B8"/>
    <w:pPr>
      <w:spacing w:line="240" w:lineRule="auto"/>
    </w:pPr>
    <w:rPr>
      <w:rFonts w:ascii="Calibri" w:eastAsiaTheme="minorHAnsi" w:hAnsi="Calibri"/>
      <w:sz w:val="22"/>
      <w:szCs w:val="21"/>
      <w:lang w:val="nl-NL" w:eastAsia="en-US"/>
    </w:rPr>
  </w:style>
  <w:style w:type="character" w:customStyle="1" w:styleId="TekstzonderopmaakChar">
    <w:name w:val="Tekst zonder opmaak Char"/>
    <w:basedOn w:val="Standaardalinea-lettertype"/>
    <w:link w:val="Tekstzonderopmaak"/>
    <w:uiPriority w:val="99"/>
    <w:semiHidden/>
    <w:rsid w:val="00CE11B8"/>
    <w:rPr>
      <w:rFonts w:ascii="Calibri" w:eastAsiaTheme="minorHAnsi" w:hAnsi="Calibri" w:cstheme="minorBidi"/>
      <w:kern w:val="0"/>
      <w:szCs w:val="21"/>
      <w:lang w:val="nl-NL"/>
      <w14:ligatures w14:val="none"/>
    </w:rPr>
  </w:style>
  <w:style w:type="paragraph" w:styleId="Revisie">
    <w:name w:val="Revision"/>
    <w:hidden/>
    <w:uiPriority w:val="99"/>
    <w:semiHidden/>
    <w:rsid w:val="00147D94"/>
    <w:pPr>
      <w:spacing w:after="0" w:line="240" w:lineRule="auto"/>
    </w:pPr>
    <w:rPr>
      <w:rFonts w:ascii="Avenir LT Std 35 Light" w:eastAsiaTheme="minorEastAsia" w:hAnsi="Avenir LT Std 35 Light" w:cstheme="minorBidi"/>
      <w:kern w:val="0"/>
      <w:sz w:val="18"/>
      <w:szCs w:val="24"/>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9220D"/>
    <w:pPr>
      <w:spacing w:after="0"/>
    </w:pPr>
    <w:rPr>
      <w:rFonts w:ascii="Avenir LT Std 35 Light" w:eastAsiaTheme="minorEastAsia" w:hAnsi="Avenir LT Std 35 Light"/>
      <w:b/>
      <w:bCs/>
      <w:lang w:val="en-US" w:eastAsia="nl-NL"/>
    </w:rPr>
  </w:style>
  <w:style w:type="character" w:customStyle="1" w:styleId="OnderwerpvanopmerkingChar">
    <w:name w:val="Onderwerp van opmerking Char"/>
    <w:basedOn w:val="TekstopmerkingChar"/>
    <w:link w:val="Onderwerpvanopmerking"/>
    <w:uiPriority w:val="99"/>
    <w:semiHidden/>
    <w:rsid w:val="0039220D"/>
    <w:rPr>
      <w:rFonts w:ascii="Avenir LT Std 35 Light" w:eastAsiaTheme="minorEastAsia" w:hAnsi="Avenir LT Std 35 Light" w:cstheme="minorBidi"/>
      <w:b/>
      <w:bCs/>
      <w:kern w:val="0"/>
      <w:sz w:val="20"/>
      <w:szCs w:val="20"/>
      <w:lang w:val="en-GB" w:eastAsia="nl-NL"/>
      <w14:ligatures w14:val="none"/>
    </w:rPr>
  </w:style>
  <w:style w:type="paragraph" w:styleId="Kopvaninhoudsopgave">
    <w:name w:val="TOC Heading"/>
    <w:basedOn w:val="Kop1"/>
    <w:next w:val="Standaard"/>
    <w:uiPriority w:val="39"/>
    <w:unhideWhenUsed/>
    <w:qFormat/>
    <w:rsid w:val="00567B5A"/>
    <w:pPr>
      <w:spacing w:line="259" w:lineRule="auto"/>
      <w:outlineLvl w:val="9"/>
    </w:pPr>
    <w:rPr>
      <w:rFonts w:asciiTheme="majorHAnsi" w:hAnsiTheme="majorHAnsi"/>
      <w:color w:val="2F5496" w:themeColor="accent1" w:themeShade="BF"/>
      <w:sz w:val="32"/>
      <w:lang w:eastAsia="en-US"/>
    </w:rPr>
  </w:style>
  <w:style w:type="paragraph" w:styleId="Inhopg1">
    <w:name w:val="toc 1"/>
    <w:basedOn w:val="Standaard"/>
    <w:next w:val="Standaard"/>
    <w:autoRedefine/>
    <w:uiPriority w:val="39"/>
    <w:unhideWhenUsed/>
    <w:rsid w:val="00132516"/>
    <w:pPr>
      <w:tabs>
        <w:tab w:val="right" w:leader="dot" w:pos="8779"/>
      </w:tabs>
      <w:spacing w:after="100"/>
    </w:pPr>
  </w:style>
  <w:style w:type="character" w:styleId="Hyperlink">
    <w:name w:val="Hyperlink"/>
    <w:basedOn w:val="Standaardalinea-lettertype"/>
    <w:uiPriority w:val="99"/>
    <w:unhideWhenUsed/>
    <w:rsid w:val="00567B5A"/>
    <w:rPr>
      <w:color w:val="0563C1" w:themeColor="hyperlink"/>
      <w:u w:val="single"/>
    </w:rPr>
  </w:style>
  <w:style w:type="paragraph" w:styleId="Inhopg2">
    <w:name w:val="toc 2"/>
    <w:basedOn w:val="Standaard"/>
    <w:next w:val="Standaard"/>
    <w:autoRedefine/>
    <w:uiPriority w:val="39"/>
    <w:unhideWhenUsed/>
    <w:rsid w:val="00E46DD0"/>
    <w:pPr>
      <w:tabs>
        <w:tab w:val="left" w:pos="720"/>
        <w:tab w:val="right" w:leader="dot" w:pos="8779"/>
      </w:tabs>
      <w:spacing w:after="100"/>
      <w:ind w:left="180"/>
    </w:pPr>
  </w:style>
  <w:style w:type="paragraph" w:styleId="Bijschrift">
    <w:name w:val="caption"/>
    <w:basedOn w:val="Standaard"/>
    <w:next w:val="Standaard"/>
    <w:uiPriority w:val="35"/>
    <w:semiHidden/>
    <w:unhideWhenUsed/>
    <w:qFormat/>
    <w:rsid w:val="006D1106"/>
    <w:pPr>
      <w:spacing w:after="200" w:line="240" w:lineRule="auto"/>
    </w:pPr>
    <w:rPr>
      <w:i/>
      <w:iCs/>
      <w:color w:val="44546A" w:themeColor="text2"/>
      <w:szCs w:val="18"/>
    </w:rPr>
  </w:style>
  <w:style w:type="table" w:styleId="Tabelrasterlicht">
    <w:name w:val="Grid Table Light"/>
    <w:basedOn w:val="Standaardtabel"/>
    <w:uiPriority w:val="99"/>
    <w:rsid w:val="00A370B5"/>
    <w:pPr>
      <w:spacing w:after="0" w:line="240" w:lineRule="auto"/>
    </w:pPr>
    <w:rPr>
      <w:rFonts w:eastAsiaTheme="minorEastAsia" w:hAnsiTheme="minorHAnsi" w:cstheme="minorBidi"/>
      <w:kern w:val="0"/>
      <w:sz w:val="24"/>
      <w:szCs w:val="24"/>
      <w:lang w:val="nl-NL"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74493">
      <w:bodyDiv w:val="1"/>
      <w:marLeft w:val="0"/>
      <w:marRight w:val="0"/>
      <w:marTop w:val="0"/>
      <w:marBottom w:val="0"/>
      <w:divBdr>
        <w:top w:val="none" w:sz="0" w:space="0" w:color="auto"/>
        <w:left w:val="none" w:sz="0" w:space="0" w:color="auto"/>
        <w:bottom w:val="none" w:sz="0" w:space="0" w:color="auto"/>
        <w:right w:val="none" w:sz="0" w:space="0" w:color="auto"/>
      </w:divBdr>
      <w:divsChild>
        <w:div w:id="1689673352">
          <w:marLeft w:val="0"/>
          <w:marRight w:val="0"/>
          <w:marTop w:val="0"/>
          <w:marBottom w:val="0"/>
          <w:divBdr>
            <w:top w:val="none" w:sz="0" w:space="0" w:color="auto"/>
            <w:left w:val="none" w:sz="0" w:space="0" w:color="auto"/>
            <w:bottom w:val="none" w:sz="0" w:space="0" w:color="auto"/>
            <w:right w:val="none" w:sz="0" w:space="0" w:color="auto"/>
          </w:divBdr>
        </w:div>
        <w:div w:id="910433008">
          <w:marLeft w:val="0"/>
          <w:marRight w:val="0"/>
          <w:marTop w:val="0"/>
          <w:marBottom w:val="0"/>
          <w:divBdr>
            <w:top w:val="none" w:sz="0" w:space="0" w:color="auto"/>
            <w:left w:val="none" w:sz="0" w:space="0" w:color="auto"/>
            <w:bottom w:val="none" w:sz="0" w:space="0" w:color="auto"/>
            <w:right w:val="none" w:sz="0" w:space="0" w:color="auto"/>
          </w:divBdr>
        </w:div>
      </w:divsChild>
    </w:div>
    <w:div w:id="153911215">
      <w:bodyDiv w:val="1"/>
      <w:marLeft w:val="0"/>
      <w:marRight w:val="0"/>
      <w:marTop w:val="0"/>
      <w:marBottom w:val="0"/>
      <w:divBdr>
        <w:top w:val="none" w:sz="0" w:space="0" w:color="auto"/>
        <w:left w:val="none" w:sz="0" w:space="0" w:color="auto"/>
        <w:bottom w:val="none" w:sz="0" w:space="0" w:color="auto"/>
        <w:right w:val="none" w:sz="0" w:space="0" w:color="auto"/>
      </w:divBdr>
    </w:div>
    <w:div w:id="210507432">
      <w:bodyDiv w:val="1"/>
      <w:marLeft w:val="0"/>
      <w:marRight w:val="0"/>
      <w:marTop w:val="0"/>
      <w:marBottom w:val="0"/>
      <w:divBdr>
        <w:top w:val="none" w:sz="0" w:space="0" w:color="auto"/>
        <w:left w:val="none" w:sz="0" w:space="0" w:color="auto"/>
        <w:bottom w:val="none" w:sz="0" w:space="0" w:color="auto"/>
        <w:right w:val="none" w:sz="0" w:space="0" w:color="auto"/>
      </w:divBdr>
    </w:div>
    <w:div w:id="674303350">
      <w:bodyDiv w:val="1"/>
      <w:marLeft w:val="0"/>
      <w:marRight w:val="0"/>
      <w:marTop w:val="0"/>
      <w:marBottom w:val="0"/>
      <w:divBdr>
        <w:top w:val="none" w:sz="0" w:space="0" w:color="auto"/>
        <w:left w:val="none" w:sz="0" w:space="0" w:color="auto"/>
        <w:bottom w:val="none" w:sz="0" w:space="0" w:color="auto"/>
        <w:right w:val="none" w:sz="0" w:space="0" w:color="auto"/>
      </w:divBdr>
    </w:div>
    <w:div w:id="785003950">
      <w:bodyDiv w:val="1"/>
      <w:marLeft w:val="0"/>
      <w:marRight w:val="0"/>
      <w:marTop w:val="0"/>
      <w:marBottom w:val="0"/>
      <w:divBdr>
        <w:top w:val="none" w:sz="0" w:space="0" w:color="auto"/>
        <w:left w:val="none" w:sz="0" w:space="0" w:color="auto"/>
        <w:bottom w:val="none" w:sz="0" w:space="0" w:color="auto"/>
        <w:right w:val="none" w:sz="0" w:space="0" w:color="auto"/>
      </w:divBdr>
    </w:div>
    <w:div w:id="881945833">
      <w:bodyDiv w:val="1"/>
      <w:marLeft w:val="0"/>
      <w:marRight w:val="0"/>
      <w:marTop w:val="0"/>
      <w:marBottom w:val="0"/>
      <w:divBdr>
        <w:top w:val="none" w:sz="0" w:space="0" w:color="auto"/>
        <w:left w:val="none" w:sz="0" w:space="0" w:color="auto"/>
        <w:bottom w:val="none" w:sz="0" w:space="0" w:color="auto"/>
        <w:right w:val="none" w:sz="0" w:space="0" w:color="auto"/>
      </w:divBdr>
    </w:div>
    <w:div w:id="1037119967">
      <w:bodyDiv w:val="1"/>
      <w:marLeft w:val="0"/>
      <w:marRight w:val="0"/>
      <w:marTop w:val="0"/>
      <w:marBottom w:val="0"/>
      <w:divBdr>
        <w:top w:val="none" w:sz="0" w:space="0" w:color="auto"/>
        <w:left w:val="none" w:sz="0" w:space="0" w:color="auto"/>
        <w:bottom w:val="none" w:sz="0" w:space="0" w:color="auto"/>
        <w:right w:val="none" w:sz="0" w:space="0" w:color="auto"/>
      </w:divBdr>
    </w:div>
    <w:div w:id="1275746190">
      <w:bodyDiv w:val="1"/>
      <w:marLeft w:val="0"/>
      <w:marRight w:val="0"/>
      <w:marTop w:val="0"/>
      <w:marBottom w:val="0"/>
      <w:divBdr>
        <w:top w:val="none" w:sz="0" w:space="0" w:color="auto"/>
        <w:left w:val="none" w:sz="0" w:space="0" w:color="auto"/>
        <w:bottom w:val="none" w:sz="0" w:space="0" w:color="auto"/>
        <w:right w:val="none" w:sz="0" w:space="0" w:color="auto"/>
      </w:divBdr>
    </w:div>
    <w:div w:id="1394156412">
      <w:bodyDiv w:val="1"/>
      <w:marLeft w:val="0"/>
      <w:marRight w:val="0"/>
      <w:marTop w:val="0"/>
      <w:marBottom w:val="0"/>
      <w:divBdr>
        <w:top w:val="none" w:sz="0" w:space="0" w:color="auto"/>
        <w:left w:val="none" w:sz="0" w:space="0" w:color="auto"/>
        <w:bottom w:val="none" w:sz="0" w:space="0" w:color="auto"/>
        <w:right w:val="none" w:sz="0" w:space="0" w:color="auto"/>
      </w:divBdr>
    </w:div>
    <w:div w:id="1557623059">
      <w:bodyDiv w:val="1"/>
      <w:marLeft w:val="0"/>
      <w:marRight w:val="0"/>
      <w:marTop w:val="0"/>
      <w:marBottom w:val="0"/>
      <w:divBdr>
        <w:top w:val="none" w:sz="0" w:space="0" w:color="auto"/>
        <w:left w:val="none" w:sz="0" w:space="0" w:color="auto"/>
        <w:bottom w:val="none" w:sz="0" w:space="0" w:color="auto"/>
        <w:right w:val="none" w:sz="0" w:space="0" w:color="auto"/>
      </w:divBdr>
    </w:div>
    <w:div w:id="1914392339">
      <w:bodyDiv w:val="1"/>
      <w:marLeft w:val="0"/>
      <w:marRight w:val="0"/>
      <w:marTop w:val="0"/>
      <w:marBottom w:val="0"/>
      <w:divBdr>
        <w:top w:val="none" w:sz="0" w:space="0" w:color="auto"/>
        <w:left w:val="none" w:sz="0" w:space="0" w:color="auto"/>
        <w:bottom w:val="none" w:sz="0" w:space="0" w:color="auto"/>
        <w:right w:val="none" w:sz="0" w:space="0" w:color="auto"/>
      </w:divBdr>
    </w:div>
    <w:div w:id="1992171566">
      <w:bodyDiv w:val="1"/>
      <w:marLeft w:val="0"/>
      <w:marRight w:val="0"/>
      <w:marTop w:val="0"/>
      <w:marBottom w:val="0"/>
      <w:divBdr>
        <w:top w:val="none" w:sz="0" w:space="0" w:color="auto"/>
        <w:left w:val="none" w:sz="0" w:space="0" w:color="auto"/>
        <w:bottom w:val="none" w:sz="0" w:space="0" w:color="auto"/>
        <w:right w:val="none" w:sz="0" w:space="0" w:color="auto"/>
      </w:divBdr>
    </w:div>
    <w:div w:id="2117166593">
      <w:bodyDiv w:val="1"/>
      <w:marLeft w:val="0"/>
      <w:marRight w:val="0"/>
      <w:marTop w:val="0"/>
      <w:marBottom w:val="0"/>
      <w:divBdr>
        <w:top w:val="none" w:sz="0" w:space="0" w:color="auto"/>
        <w:left w:val="none" w:sz="0" w:space="0" w:color="auto"/>
        <w:bottom w:val="none" w:sz="0" w:space="0" w:color="auto"/>
        <w:right w:val="none" w:sz="0" w:space="0" w:color="auto"/>
      </w:divBdr>
    </w:div>
    <w:div w:id="212468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F80CD3692C344FB3C913CEA6BB8E4C" ma:contentTypeVersion="10" ma:contentTypeDescription="Een nieuw document maken." ma:contentTypeScope="" ma:versionID="883085badac27d4af4c3eba62738293f">
  <xsd:schema xmlns:xsd="http://www.w3.org/2001/XMLSchema" xmlns:xs="http://www.w3.org/2001/XMLSchema" xmlns:p="http://schemas.microsoft.com/office/2006/metadata/properties" xmlns:ns2="90d8849c-eb95-4fb4-b0f8-98077a8a3a03" xmlns:ns3="e4d52ab3-4eae-44c5-b369-e188314a1f7a" targetNamespace="http://schemas.microsoft.com/office/2006/metadata/properties" ma:root="true" ma:fieldsID="4ae58274676a115759e8a2505ef83e9a" ns2:_="" ns3:_="">
    <xsd:import namespace="90d8849c-eb95-4fb4-b0f8-98077a8a3a03"/>
    <xsd:import namespace="e4d52ab3-4eae-44c5-b369-e188314a1f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8849c-eb95-4fb4-b0f8-98077a8a3a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d52ab3-4eae-44c5-b369-e188314a1f7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B18442-B40F-40E2-9DBD-FFF09DFFB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8849c-eb95-4fb4-b0f8-98077a8a3a03"/>
    <ds:schemaRef ds:uri="e4d52ab3-4eae-44c5-b369-e188314a1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844D14-0EDA-4403-B115-D68315A8CDA8}">
  <ds:schemaRefs>
    <ds:schemaRef ds:uri="http://schemas.openxmlformats.org/officeDocument/2006/bibliography"/>
  </ds:schemaRefs>
</ds:datastoreItem>
</file>

<file path=customXml/itemProps3.xml><?xml version="1.0" encoding="utf-8"?>
<ds:datastoreItem xmlns:ds="http://schemas.openxmlformats.org/officeDocument/2006/customXml" ds:itemID="{42C1D627-AA99-48B7-A0F1-11EBE15826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795A0D-FBFA-45F3-AB83-D96D76203A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6463</Characters>
  <Application>Microsoft Office Word</Application>
  <DocSecurity>0</DocSecurity>
  <Lines>53</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 Bencheikh</dc:creator>
  <cp:keywords/>
  <dc:description/>
  <cp:lastModifiedBy>Thomas Decruy</cp:lastModifiedBy>
  <cp:revision>2</cp:revision>
  <cp:lastPrinted>2024-05-06T15:09:00Z</cp:lastPrinted>
  <dcterms:created xsi:type="dcterms:W3CDTF">2026-02-26T13:42:00Z</dcterms:created>
  <dcterms:modified xsi:type="dcterms:W3CDTF">2026-02-26T13:42:00Z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0x01010088F80CD3692C344FB3C913CEA6BB8E4C</vt:lpwstr>
  </property>
  <property fmtid="{D5CDD505-2E9C-101B-9397-08002B2CF9AE}" pid="3" name="MediaServiceImageTags">
    <vt:lpwstr/>
  </property>
  <property fmtid="{D5CDD505-2E9C-101B-9397-08002B2CF9AE}" pid="4" name="_ExtendedDescription">
    <vt:lpwstr/>
  </property>
</Properties>
</file>