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-142" w:type="dxa"/>
        <w:tblBorders>
          <w:top w:val="none" w:sz="0" w:space="0" w:color="auto"/>
          <w:left w:val="none" w:sz="0" w:space="0" w:color="auto"/>
          <w:bottom w:val="single" w:sz="12" w:space="0" w:color="EE255C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83"/>
        <w:gridCol w:w="5103"/>
      </w:tblGrid>
      <w:tr w:rsidR="00B87CF1" w:rsidRPr="00DB42CC" w14:paraId="090F10A0" w14:textId="77777777" w:rsidTr="00A127F2">
        <w:tc>
          <w:tcPr>
            <w:tcW w:w="3828" w:type="dxa"/>
            <w:vMerge w:val="restart"/>
            <w:tcBorders>
              <w:bottom w:val="nil"/>
            </w:tcBorders>
          </w:tcPr>
          <w:p w14:paraId="4C822BD1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  <w:r w:rsidRPr="00DB42CC">
              <w:rPr>
                <w:rFonts w:cs="Arial"/>
                <w:noProof/>
                <w:lang w:eastAsia="nl-BE"/>
              </w:rPr>
              <w:drawing>
                <wp:inline distT="0" distB="0" distL="0" distR="0" wp14:anchorId="327497BE" wp14:editId="03D20CA4">
                  <wp:extent cx="1239024" cy="609600"/>
                  <wp:effectExtent l="0" t="0" r="0" b="0"/>
                  <wp:docPr id="5" name="Afbeelding 5" descr="Une image contenant Police, Graphique, graphisme, logo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Afbeelding 5" descr="Une image contenant Police, Graphique, graphisme, logo&#10;&#10;Le contenu généré par l’IA peut êtr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476" cy="612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bottom w:val="nil"/>
            </w:tcBorders>
          </w:tcPr>
          <w:p w14:paraId="38D7E0CB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14:paraId="4CD7ACDA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</w:tr>
      <w:tr w:rsidR="00B87CF1" w:rsidRPr="00DB42CC" w14:paraId="6F4DC2CB" w14:textId="77777777" w:rsidTr="00A127F2">
        <w:tc>
          <w:tcPr>
            <w:tcW w:w="3828" w:type="dxa"/>
            <w:vMerge/>
            <w:tcBorders>
              <w:bottom w:val="nil"/>
            </w:tcBorders>
          </w:tcPr>
          <w:p w14:paraId="21FD6D0B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124D0B34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14:paraId="30B372F4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</w:tr>
      <w:tr w:rsidR="00B87CF1" w:rsidRPr="00DB42CC" w14:paraId="64828CF6" w14:textId="77777777" w:rsidTr="00A127F2">
        <w:tc>
          <w:tcPr>
            <w:tcW w:w="3828" w:type="dxa"/>
            <w:vMerge/>
            <w:tcBorders>
              <w:bottom w:val="nil"/>
            </w:tcBorders>
          </w:tcPr>
          <w:p w14:paraId="1536E2E1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75AA9266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14:paraId="2BBF49E4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</w:tr>
      <w:tr w:rsidR="00B87CF1" w:rsidRPr="00DB42CC" w14:paraId="6AD26468" w14:textId="77777777" w:rsidTr="00A127F2">
        <w:tc>
          <w:tcPr>
            <w:tcW w:w="3828" w:type="dxa"/>
            <w:vMerge/>
            <w:tcBorders>
              <w:bottom w:val="nil"/>
            </w:tcBorders>
          </w:tcPr>
          <w:p w14:paraId="7F66B119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21A51654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14:paraId="55564CF0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</w:tr>
      <w:tr w:rsidR="00B87CF1" w:rsidRPr="00DB42CC" w14:paraId="4062CCDF" w14:textId="77777777" w:rsidTr="00A127F2">
        <w:tc>
          <w:tcPr>
            <w:tcW w:w="3828" w:type="dxa"/>
            <w:vMerge/>
            <w:tcBorders>
              <w:bottom w:val="single" w:sz="12" w:space="0" w:color="EE255C"/>
            </w:tcBorders>
          </w:tcPr>
          <w:p w14:paraId="2462E617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283" w:type="dxa"/>
            <w:tcBorders>
              <w:bottom w:val="single" w:sz="12" w:space="0" w:color="EE255C"/>
            </w:tcBorders>
          </w:tcPr>
          <w:p w14:paraId="0121C106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  <w:tc>
          <w:tcPr>
            <w:tcW w:w="5103" w:type="dxa"/>
            <w:tcBorders>
              <w:bottom w:val="single" w:sz="12" w:space="0" w:color="EE255C"/>
            </w:tcBorders>
          </w:tcPr>
          <w:p w14:paraId="06F6AD4B" w14:textId="77777777" w:rsidR="00B87CF1" w:rsidRPr="00DB42CC" w:rsidRDefault="00B87CF1" w:rsidP="00A127F2">
            <w:pPr>
              <w:jc w:val="both"/>
              <w:rPr>
                <w:rFonts w:cs="Arial"/>
                <w:color w:val="0F0248"/>
              </w:rPr>
            </w:pPr>
          </w:p>
        </w:tc>
      </w:tr>
      <w:tr w:rsidR="00B87CF1" w:rsidRPr="00DB42CC" w14:paraId="09A01FA6" w14:textId="77777777" w:rsidTr="00A127F2">
        <w:trPr>
          <w:trHeight w:val="504"/>
        </w:trPr>
        <w:tc>
          <w:tcPr>
            <w:tcW w:w="9214" w:type="dxa"/>
            <w:gridSpan w:val="3"/>
            <w:tcBorders>
              <w:top w:val="single" w:sz="12" w:space="0" w:color="EE255C"/>
            </w:tcBorders>
            <w:vAlign w:val="center"/>
          </w:tcPr>
          <w:p w14:paraId="295A55F3" w14:textId="241C990A" w:rsidR="00B87CF1" w:rsidRPr="00DB42CC" w:rsidRDefault="00852AC7" w:rsidP="00A27B03">
            <w:pPr>
              <w:jc w:val="center"/>
              <w:rPr>
                <w:rFonts w:cs="Arial"/>
                <w:b/>
                <w:color w:val="0F0248"/>
                <w:sz w:val="26"/>
                <w:szCs w:val="26"/>
              </w:rPr>
            </w:pPr>
            <w:r w:rsidRPr="00852AC7">
              <w:rPr>
                <w:rFonts w:cs="Arial"/>
                <w:b/>
                <w:color w:val="0F0248"/>
                <w:sz w:val="26"/>
                <w:szCs w:val="26"/>
              </w:rPr>
              <w:t>Task Force on Climate</w:t>
            </w:r>
            <w:r w:rsidR="00302EAC">
              <w:rPr>
                <w:rFonts w:cs="Arial"/>
                <w:b/>
                <w:color w:val="0F0248"/>
                <w:sz w:val="26"/>
                <w:szCs w:val="26"/>
              </w:rPr>
              <w:t>-</w:t>
            </w:r>
            <w:r w:rsidRPr="00852AC7">
              <w:rPr>
                <w:rFonts w:cs="Arial"/>
                <w:b/>
                <w:color w:val="0F0248"/>
                <w:sz w:val="26"/>
                <w:szCs w:val="26"/>
              </w:rPr>
              <w:t>Related Financial Disclosures</w:t>
            </w:r>
            <w:r>
              <w:rPr>
                <w:rFonts w:cs="Arial"/>
                <w:b/>
                <w:color w:val="0F0248"/>
                <w:sz w:val="26"/>
                <w:szCs w:val="26"/>
              </w:rPr>
              <w:t xml:space="preserve"> (TCFD)</w:t>
            </w:r>
            <w:r w:rsidR="00FA3870" w:rsidRPr="00DB42CC">
              <w:rPr>
                <w:rFonts w:cs="Arial"/>
                <w:b/>
                <w:color w:val="0F0248"/>
                <w:sz w:val="26"/>
                <w:szCs w:val="26"/>
              </w:rPr>
              <w:t xml:space="preserve"> Index</w:t>
            </w:r>
          </w:p>
        </w:tc>
      </w:tr>
    </w:tbl>
    <w:p w14:paraId="5EE9A83D" w14:textId="06446943" w:rsidR="00B87CF1" w:rsidRPr="00DB42CC" w:rsidRDefault="00B87CF1" w:rsidP="00B87CF1">
      <w:pPr>
        <w:jc w:val="both"/>
        <w:rPr>
          <w:rFonts w:cs="Arial"/>
          <w:b/>
          <w:color w:val="0F0248"/>
        </w:rPr>
      </w:pPr>
    </w:p>
    <w:p w14:paraId="52F88BB7" w14:textId="467A9AF7" w:rsidR="00FA3870" w:rsidRDefault="00FA3870" w:rsidP="00FA3870">
      <w:r w:rsidRPr="00DB42CC">
        <w:t xml:space="preserve">House of HR </w:t>
      </w:r>
      <w:r w:rsidRPr="00DB42CC">
        <w:rPr>
          <w:b/>
          <w:bCs/>
        </w:rPr>
        <w:t>reports information recommended by</w:t>
      </w:r>
      <w:r w:rsidR="00C22484" w:rsidRPr="00DB42CC">
        <w:rPr>
          <w:b/>
          <w:bCs/>
        </w:rPr>
        <w:t xml:space="preserve"> the </w:t>
      </w:r>
      <w:r w:rsidR="00852AC7" w:rsidRPr="00852AC7">
        <w:rPr>
          <w:b/>
          <w:bCs/>
        </w:rPr>
        <w:t>Task Force on Climate</w:t>
      </w:r>
      <w:r w:rsidR="00302EAC">
        <w:rPr>
          <w:b/>
          <w:bCs/>
        </w:rPr>
        <w:t>-</w:t>
      </w:r>
      <w:r w:rsidR="00852AC7" w:rsidRPr="00852AC7">
        <w:rPr>
          <w:b/>
          <w:bCs/>
        </w:rPr>
        <w:t xml:space="preserve">Related Financial Disclosures (TCFD) </w:t>
      </w:r>
      <w:r w:rsidR="00C22484" w:rsidRPr="00DB42CC">
        <w:t>on our website, annual sustainability report and other documents</w:t>
      </w:r>
      <w:r w:rsidRPr="00DB42CC">
        <w:t xml:space="preserve"> for the calendar year 2025</w:t>
      </w:r>
      <w:r w:rsidR="00C22484" w:rsidRPr="00DB42CC">
        <w:t xml:space="preserve">. The table below presents where information from </w:t>
      </w:r>
      <w:r w:rsidRPr="00DB42CC">
        <w:t xml:space="preserve">the </w:t>
      </w:r>
      <w:r w:rsidR="00852AC7">
        <w:t>TCFD Framework</w:t>
      </w:r>
      <w:r w:rsidR="00A61B69" w:rsidRPr="00DB42CC">
        <w:t xml:space="preserve"> </w:t>
      </w:r>
      <w:r w:rsidR="00C22484" w:rsidRPr="00DB42CC">
        <w:t>can be found.</w:t>
      </w:r>
    </w:p>
    <w:p w14:paraId="6A2D6B38" w14:textId="34355F02" w:rsidR="000F2873" w:rsidRPr="00FA5E40" w:rsidRDefault="00424DB4" w:rsidP="00FA3870">
      <w:r>
        <w:t>L</w:t>
      </w:r>
      <w:r w:rsidR="000F2873">
        <w:t xml:space="preserve">ocations </w:t>
      </w:r>
      <w:r w:rsidRPr="00FA5E40">
        <w:t>indicated refer to</w:t>
      </w:r>
      <w:r w:rsidR="000F2873" w:rsidRPr="00FA5E40">
        <w:t xml:space="preserve">: </w:t>
      </w:r>
    </w:p>
    <w:p w14:paraId="145FD551" w14:textId="17ED69B4" w:rsidR="000F2873" w:rsidRPr="00FA5E40" w:rsidRDefault="000F2873" w:rsidP="000F2873">
      <w:pPr>
        <w:pStyle w:val="Paragraphedeliste"/>
        <w:numPr>
          <w:ilvl w:val="0"/>
          <w:numId w:val="12"/>
        </w:numPr>
      </w:pPr>
      <w:r w:rsidRPr="00FA5E40">
        <w:rPr>
          <w:b/>
          <w:bCs/>
        </w:rPr>
        <w:t>Sustainability in action</w:t>
      </w:r>
      <w:r w:rsidR="00852AC7" w:rsidRPr="00FA5E40">
        <w:rPr>
          <w:b/>
          <w:bCs/>
        </w:rPr>
        <w:t xml:space="preserve">: </w:t>
      </w:r>
      <w:r w:rsidRPr="00FA5E40">
        <w:rPr>
          <w:b/>
          <w:bCs/>
        </w:rPr>
        <w:t>‘We care for our environment’</w:t>
      </w:r>
      <w:r w:rsidR="00852AC7" w:rsidRPr="00FA5E40">
        <w:t xml:space="preserve"> </w:t>
      </w:r>
      <w:r w:rsidRPr="00FA5E40">
        <w:t xml:space="preserve">: refers to the section “Sustainability in action” and </w:t>
      </w:r>
      <w:r w:rsidR="00852AC7" w:rsidRPr="00FA5E40">
        <w:t xml:space="preserve">specifically </w:t>
      </w:r>
      <w:r w:rsidRPr="00FA5E40">
        <w:t>to its subsection</w:t>
      </w:r>
      <w:r w:rsidR="00852AC7" w:rsidRPr="00FA5E40">
        <w:t xml:space="preserve"> ‘We care for our environment’</w:t>
      </w:r>
      <w:r w:rsidRPr="00FA5E40">
        <w:t xml:space="preserve"> on our 2025 Annual Sustainability Report Webpage, available online.</w:t>
      </w:r>
    </w:p>
    <w:p w14:paraId="239173B8" w14:textId="5348EC71" w:rsidR="00DE1CFD" w:rsidRPr="00FA5E40" w:rsidRDefault="00DE1CFD" w:rsidP="00DE1CFD">
      <w:pPr>
        <w:pStyle w:val="Paragraphedeliste"/>
        <w:numPr>
          <w:ilvl w:val="0"/>
          <w:numId w:val="12"/>
        </w:numPr>
      </w:pPr>
      <w:r w:rsidRPr="00FA5E40">
        <w:rPr>
          <w:b/>
          <w:bCs/>
        </w:rPr>
        <w:t>Methodological note</w:t>
      </w:r>
      <w:r w:rsidRPr="00FA5E40">
        <w:t>: refers to our 2025 Sustainability report methodology, available to download on our 2025 Annual Sustainability Report Webpage.</w:t>
      </w:r>
    </w:p>
    <w:p w14:paraId="6192F266" w14:textId="77777777" w:rsidR="00852AC7" w:rsidRDefault="00852AC7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6621"/>
        <w:gridCol w:w="2441"/>
      </w:tblGrid>
      <w:tr w:rsidR="00852AC7" w:rsidRPr="00404D3B" w14:paraId="0D471DAE" w14:textId="77777777" w:rsidTr="00FA5E40">
        <w:trPr>
          <w:trHeight w:val="20"/>
        </w:trPr>
        <w:tc>
          <w:tcPr>
            <w:tcW w:w="3653" w:type="pct"/>
          </w:tcPr>
          <w:p w14:paraId="5D6A2817" w14:textId="77777777" w:rsidR="00852AC7" w:rsidRPr="00404D3B" w:rsidRDefault="00852AC7" w:rsidP="008A1680">
            <w:pPr>
              <w:rPr>
                <w:b/>
                <w:bCs/>
              </w:rPr>
            </w:pPr>
            <w:r w:rsidRPr="00404D3B">
              <w:rPr>
                <w:b/>
                <w:bCs/>
              </w:rPr>
              <w:t>TCFD Recommendations</w:t>
            </w:r>
          </w:p>
        </w:tc>
        <w:tc>
          <w:tcPr>
            <w:tcW w:w="1347" w:type="pct"/>
          </w:tcPr>
          <w:p w14:paraId="4C90EFEB" w14:textId="2CE4DDBC" w:rsidR="00852AC7" w:rsidRPr="00404D3B" w:rsidRDefault="00852AC7" w:rsidP="008A1680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</w:tr>
      <w:tr w:rsidR="00852AC7" w:rsidRPr="0007021F" w14:paraId="4E229C35" w14:textId="77777777" w:rsidTr="00FA5E40">
        <w:trPr>
          <w:trHeight w:val="20"/>
        </w:trPr>
        <w:tc>
          <w:tcPr>
            <w:tcW w:w="3653" w:type="pct"/>
            <w:shd w:val="clear" w:color="auto" w:fill="BEBAEE" w:themeFill="accent1" w:themeFillTint="33"/>
          </w:tcPr>
          <w:p w14:paraId="7C4A5BAC" w14:textId="77777777" w:rsidR="00852AC7" w:rsidRPr="0033491A" w:rsidRDefault="00852AC7" w:rsidP="008A1680">
            <w:pPr>
              <w:rPr>
                <w:b/>
                <w:bCs/>
              </w:rPr>
            </w:pPr>
            <w:r w:rsidRPr="0033491A">
              <w:rPr>
                <w:b/>
                <w:bCs/>
              </w:rPr>
              <w:t>Governance</w:t>
            </w:r>
          </w:p>
          <w:p w14:paraId="4BABCFEB" w14:textId="77777777" w:rsidR="00852AC7" w:rsidRPr="0033491A" w:rsidRDefault="00852AC7" w:rsidP="008A1680">
            <w:r w:rsidRPr="0033491A">
              <w:t>Disclose the organization’s governance around climate-related risks and opportunities.</w:t>
            </w:r>
          </w:p>
        </w:tc>
        <w:tc>
          <w:tcPr>
            <w:tcW w:w="1347" w:type="pct"/>
            <w:shd w:val="clear" w:color="auto" w:fill="BEBAEE" w:themeFill="accent1" w:themeFillTint="33"/>
          </w:tcPr>
          <w:p w14:paraId="19543CB8" w14:textId="77777777" w:rsidR="00852AC7" w:rsidRDefault="00852AC7" w:rsidP="008A1680"/>
        </w:tc>
      </w:tr>
      <w:tr w:rsidR="00852AC7" w:rsidRPr="0007021F" w14:paraId="1E0048DC" w14:textId="77777777" w:rsidTr="00FA5E40">
        <w:trPr>
          <w:trHeight w:val="20"/>
        </w:trPr>
        <w:tc>
          <w:tcPr>
            <w:tcW w:w="3653" w:type="pct"/>
          </w:tcPr>
          <w:p w14:paraId="20CF6C61" w14:textId="77777777" w:rsidR="00852AC7" w:rsidRDefault="00852AC7" w:rsidP="008A1680">
            <w:r w:rsidRPr="000A1933">
              <w:t>a. Describe the board’s oversight of climate-related risks and opportunities.</w:t>
            </w:r>
          </w:p>
        </w:tc>
        <w:tc>
          <w:tcPr>
            <w:tcW w:w="1347" w:type="pct"/>
          </w:tcPr>
          <w:p w14:paraId="507D97E2" w14:textId="271982E1" w:rsidR="00852AC7" w:rsidRDefault="00852AC7" w:rsidP="008A1680">
            <w:r>
              <w:t>-</w:t>
            </w:r>
          </w:p>
        </w:tc>
      </w:tr>
      <w:tr w:rsidR="00852AC7" w:rsidRPr="0007021F" w14:paraId="69CFAB16" w14:textId="77777777" w:rsidTr="00FA5E40">
        <w:trPr>
          <w:trHeight w:val="20"/>
        </w:trPr>
        <w:tc>
          <w:tcPr>
            <w:tcW w:w="3653" w:type="pct"/>
          </w:tcPr>
          <w:p w14:paraId="0BF7DECA" w14:textId="77777777" w:rsidR="00852AC7" w:rsidRDefault="00852AC7" w:rsidP="008A1680">
            <w:r w:rsidRPr="000A1933">
              <w:t>b. Describe management’s role in assessing and managing climate-related risks and opportunities.</w:t>
            </w:r>
          </w:p>
        </w:tc>
        <w:tc>
          <w:tcPr>
            <w:tcW w:w="1347" w:type="pct"/>
          </w:tcPr>
          <w:p w14:paraId="3F2AAE12" w14:textId="568E6AA0" w:rsidR="00852AC7" w:rsidRDefault="00852AC7" w:rsidP="008A1680">
            <w:r>
              <w:t>Methodological note</w:t>
            </w:r>
          </w:p>
        </w:tc>
      </w:tr>
      <w:tr w:rsidR="00852AC7" w:rsidRPr="0007021F" w14:paraId="540CDEE9" w14:textId="77777777" w:rsidTr="00FA5E40">
        <w:trPr>
          <w:trHeight w:val="20"/>
        </w:trPr>
        <w:tc>
          <w:tcPr>
            <w:tcW w:w="3653" w:type="pct"/>
            <w:shd w:val="clear" w:color="auto" w:fill="AEA9EA" w:themeFill="text2" w:themeFillTint="40"/>
          </w:tcPr>
          <w:p w14:paraId="5EE34FD8" w14:textId="77777777" w:rsidR="00852AC7" w:rsidRPr="000A1933" w:rsidRDefault="00852AC7" w:rsidP="008A1680">
            <w:pPr>
              <w:rPr>
                <w:b/>
                <w:bCs/>
              </w:rPr>
            </w:pPr>
            <w:r w:rsidRPr="000A1933">
              <w:rPr>
                <w:b/>
                <w:bCs/>
              </w:rPr>
              <w:t>Strategy</w:t>
            </w:r>
          </w:p>
          <w:p w14:paraId="517AFE0A" w14:textId="77777777" w:rsidR="00852AC7" w:rsidRPr="0033491A" w:rsidRDefault="00852AC7" w:rsidP="008A1680">
            <w:r w:rsidRPr="000A1933">
              <w:t>Disclose the actual and potential impacts of climate-related risks and opportunities on the organization’s businesses, strategy, and financial planning where such information is material.</w:t>
            </w:r>
          </w:p>
        </w:tc>
        <w:tc>
          <w:tcPr>
            <w:tcW w:w="1347" w:type="pct"/>
            <w:shd w:val="clear" w:color="auto" w:fill="AEA9EA" w:themeFill="text2" w:themeFillTint="40"/>
          </w:tcPr>
          <w:p w14:paraId="7670A709" w14:textId="77777777" w:rsidR="00852AC7" w:rsidRDefault="00852AC7" w:rsidP="008A1680"/>
        </w:tc>
      </w:tr>
      <w:tr w:rsidR="00852AC7" w:rsidRPr="0007021F" w14:paraId="388663B3" w14:textId="77777777" w:rsidTr="00FA5E40">
        <w:trPr>
          <w:trHeight w:val="20"/>
        </w:trPr>
        <w:tc>
          <w:tcPr>
            <w:tcW w:w="3653" w:type="pct"/>
          </w:tcPr>
          <w:p w14:paraId="0CD06551" w14:textId="77777777" w:rsidR="00852AC7" w:rsidRDefault="00852AC7" w:rsidP="008A1680">
            <w:pPr>
              <w:spacing w:after="160" w:line="278" w:lineRule="auto"/>
            </w:pPr>
            <w:r w:rsidRPr="000A1933">
              <w:t>a. Describe the climate-related risks and opportunities the organization has identified over the short, medium, and long term.</w:t>
            </w:r>
          </w:p>
        </w:tc>
        <w:tc>
          <w:tcPr>
            <w:tcW w:w="1347" w:type="pct"/>
          </w:tcPr>
          <w:p w14:paraId="31CB91A5" w14:textId="0210408F" w:rsidR="00852AC7" w:rsidRDefault="00852AC7" w:rsidP="008A1680">
            <w:r>
              <w:t>Methodological note</w:t>
            </w:r>
          </w:p>
        </w:tc>
      </w:tr>
      <w:tr w:rsidR="00852AC7" w:rsidRPr="0007021F" w14:paraId="459EF7FB" w14:textId="77777777" w:rsidTr="00FA5E40">
        <w:trPr>
          <w:trHeight w:val="20"/>
        </w:trPr>
        <w:tc>
          <w:tcPr>
            <w:tcW w:w="3653" w:type="pct"/>
          </w:tcPr>
          <w:p w14:paraId="16AB91E3" w14:textId="77777777" w:rsidR="00852AC7" w:rsidRPr="000A1933" w:rsidRDefault="00852AC7" w:rsidP="008A1680">
            <w:pPr>
              <w:spacing w:after="160" w:line="278" w:lineRule="auto"/>
            </w:pPr>
            <w:r w:rsidRPr="000A1933">
              <w:t>b. Describe the impact of climate-related risks and opportunities on the organization’s businesses, strategy, and financial planning.</w:t>
            </w:r>
          </w:p>
        </w:tc>
        <w:tc>
          <w:tcPr>
            <w:tcW w:w="1347" w:type="pct"/>
          </w:tcPr>
          <w:p w14:paraId="4F086C5C" w14:textId="6676B83E" w:rsidR="00852AC7" w:rsidRDefault="00852AC7" w:rsidP="008A1680">
            <w:r>
              <w:t>-</w:t>
            </w:r>
          </w:p>
        </w:tc>
      </w:tr>
      <w:tr w:rsidR="00852AC7" w:rsidRPr="0007021F" w14:paraId="24216F98" w14:textId="77777777" w:rsidTr="00FA5E40">
        <w:trPr>
          <w:trHeight w:val="20"/>
        </w:trPr>
        <w:tc>
          <w:tcPr>
            <w:tcW w:w="3653" w:type="pct"/>
          </w:tcPr>
          <w:p w14:paraId="7E9C43DA" w14:textId="77777777" w:rsidR="00852AC7" w:rsidRDefault="00852AC7" w:rsidP="008A1680">
            <w:pPr>
              <w:spacing w:after="160" w:line="278" w:lineRule="auto"/>
            </w:pPr>
            <w:r w:rsidRPr="000A1933">
              <w:t>c. Describe the resilience of the organization’s strategy, taking into consideration different climate-related scenarios, including a 2°C or lower scenario.</w:t>
            </w:r>
          </w:p>
        </w:tc>
        <w:tc>
          <w:tcPr>
            <w:tcW w:w="1347" w:type="pct"/>
          </w:tcPr>
          <w:p w14:paraId="4BE40312" w14:textId="1FFBE5E3" w:rsidR="00852AC7" w:rsidRDefault="00852AC7" w:rsidP="008A1680">
            <w:r>
              <w:t>-</w:t>
            </w:r>
          </w:p>
        </w:tc>
      </w:tr>
      <w:tr w:rsidR="00852AC7" w:rsidRPr="0007021F" w14:paraId="22CD39BB" w14:textId="77777777" w:rsidTr="00FA5E40">
        <w:trPr>
          <w:trHeight w:val="20"/>
        </w:trPr>
        <w:tc>
          <w:tcPr>
            <w:tcW w:w="3653" w:type="pct"/>
            <w:shd w:val="clear" w:color="auto" w:fill="AEAAAA" w:themeFill="background2" w:themeFillShade="BF"/>
          </w:tcPr>
          <w:p w14:paraId="31C2E599" w14:textId="77777777" w:rsidR="00852AC7" w:rsidRPr="000A1933" w:rsidRDefault="00852AC7" w:rsidP="008A1680">
            <w:pPr>
              <w:rPr>
                <w:b/>
                <w:bCs/>
              </w:rPr>
            </w:pPr>
            <w:r w:rsidRPr="000A1933">
              <w:rPr>
                <w:b/>
                <w:bCs/>
              </w:rPr>
              <w:t>Risk Management</w:t>
            </w:r>
          </w:p>
          <w:p w14:paraId="1CEEEE15" w14:textId="77777777" w:rsidR="00852AC7" w:rsidRPr="0033491A" w:rsidRDefault="00852AC7" w:rsidP="008A1680">
            <w:r w:rsidRPr="000A1933">
              <w:t>Disclose how the organization identifies, assesses, and manages climate-related risks.</w:t>
            </w:r>
          </w:p>
        </w:tc>
        <w:tc>
          <w:tcPr>
            <w:tcW w:w="1347" w:type="pct"/>
            <w:shd w:val="clear" w:color="auto" w:fill="AEAAAA" w:themeFill="background2" w:themeFillShade="BF"/>
          </w:tcPr>
          <w:p w14:paraId="15306AC2" w14:textId="77777777" w:rsidR="00852AC7" w:rsidRDefault="00852AC7" w:rsidP="008A1680"/>
        </w:tc>
      </w:tr>
      <w:tr w:rsidR="00852AC7" w:rsidRPr="0007021F" w14:paraId="78420D9D" w14:textId="77777777" w:rsidTr="00FA5E40">
        <w:trPr>
          <w:trHeight w:val="20"/>
        </w:trPr>
        <w:tc>
          <w:tcPr>
            <w:tcW w:w="3653" w:type="pct"/>
          </w:tcPr>
          <w:p w14:paraId="362C7A19" w14:textId="77777777" w:rsidR="00852AC7" w:rsidRDefault="00852AC7" w:rsidP="008A1680">
            <w:pPr>
              <w:spacing w:after="160" w:line="278" w:lineRule="auto"/>
            </w:pPr>
            <w:r w:rsidRPr="000A1933">
              <w:lastRenderedPageBreak/>
              <w:t>a. Describe the organization’s processes for identifying and assessing climate-related risks.</w:t>
            </w:r>
          </w:p>
        </w:tc>
        <w:tc>
          <w:tcPr>
            <w:tcW w:w="1347" w:type="pct"/>
          </w:tcPr>
          <w:p w14:paraId="6354EFA4" w14:textId="5AD7AF76" w:rsidR="00852AC7" w:rsidRDefault="00852AC7" w:rsidP="008A1680">
            <w:r>
              <w:t>Methodological note</w:t>
            </w:r>
          </w:p>
        </w:tc>
      </w:tr>
      <w:tr w:rsidR="00852AC7" w:rsidRPr="0007021F" w14:paraId="11DC4843" w14:textId="77777777" w:rsidTr="00FA5E40">
        <w:trPr>
          <w:trHeight w:val="20"/>
        </w:trPr>
        <w:tc>
          <w:tcPr>
            <w:tcW w:w="3653" w:type="pct"/>
          </w:tcPr>
          <w:p w14:paraId="19113899" w14:textId="77777777" w:rsidR="00852AC7" w:rsidRDefault="00852AC7" w:rsidP="008A1680">
            <w:pPr>
              <w:spacing w:after="160" w:line="278" w:lineRule="auto"/>
            </w:pPr>
            <w:r w:rsidRPr="000A1933">
              <w:t>b. Describe the organization’s processes for managing climate-related risks.</w:t>
            </w:r>
          </w:p>
        </w:tc>
        <w:tc>
          <w:tcPr>
            <w:tcW w:w="1347" w:type="pct"/>
          </w:tcPr>
          <w:p w14:paraId="44B50319" w14:textId="6013E81E" w:rsidR="00852AC7" w:rsidRDefault="00852AC7" w:rsidP="008A1680">
            <w:r>
              <w:t>-</w:t>
            </w:r>
          </w:p>
        </w:tc>
      </w:tr>
      <w:tr w:rsidR="00852AC7" w:rsidRPr="0007021F" w14:paraId="4463A0DC" w14:textId="77777777" w:rsidTr="00FA5E40">
        <w:trPr>
          <w:trHeight w:val="20"/>
        </w:trPr>
        <w:tc>
          <w:tcPr>
            <w:tcW w:w="3653" w:type="pct"/>
          </w:tcPr>
          <w:p w14:paraId="4ACCFB3F" w14:textId="77777777" w:rsidR="00852AC7" w:rsidRDefault="00852AC7" w:rsidP="008A1680">
            <w:pPr>
              <w:spacing w:after="160" w:line="278" w:lineRule="auto"/>
            </w:pPr>
            <w:r w:rsidRPr="000A1933">
              <w:t>c. Describe how processes for identifying, assessing, and managing climate-related risks are integrated into the organization’s overall risk management.</w:t>
            </w:r>
          </w:p>
        </w:tc>
        <w:tc>
          <w:tcPr>
            <w:tcW w:w="1347" w:type="pct"/>
          </w:tcPr>
          <w:p w14:paraId="34CF6F9D" w14:textId="145A51F3" w:rsidR="00852AC7" w:rsidRDefault="00852AC7" w:rsidP="008A1680">
            <w:r>
              <w:t>Methodological note</w:t>
            </w:r>
          </w:p>
        </w:tc>
      </w:tr>
      <w:tr w:rsidR="00852AC7" w:rsidRPr="0007021F" w14:paraId="31E813C5" w14:textId="77777777" w:rsidTr="00FA5E40">
        <w:trPr>
          <w:trHeight w:val="20"/>
        </w:trPr>
        <w:tc>
          <w:tcPr>
            <w:tcW w:w="3653" w:type="pct"/>
            <w:shd w:val="clear" w:color="auto" w:fill="F2F2F2" w:themeFill="background1" w:themeFillShade="F2"/>
          </w:tcPr>
          <w:p w14:paraId="3D1EF2BC" w14:textId="77777777" w:rsidR="00852AC7" w:rsidRPr="000A1933" w:rsidRDefault="00852AC7" w:rsidP="008A1680">
            <w:pPr>
              <w:rPr>
                <w:b/>
                <w:bCs/>
              </w:rPr>
            </w:pPr>
            <w:r w:rsidRPr="000A1933">
              <w:rPr>
                <w:b/>
                <w:bCs/>
              </w:rPr>
              <w:t>Metrics and Targets</w:t>
            </w:r>
          </w:p>
          <w:p w14:paraId="6752F5D4" w14:textId="77777777" w:rsidR="00852AC7" w:rsidRPr="0033491A" w:rsidRDefault="00852AC7" w:rsidP="008A1680">
            <w:r w:rsidRPr="000A1933">
              <w:t>Disclose the metrics and targets used to assess and manage relevant climate-related risks and opportunities where such information is material.</w:t>
            </w:r>
          </w:p>
        </w:tc>
        <w:tc>
          <w:tcPr>
            <w:tcW w:w="1347" w:type="pct"/>
            <w:shd w:val="clear" w:color="auto" w:fill="F2F2F2" w:themeFill="background1" w:themeFillShade="F2"/>
          </w:tcPr>
          <w:p w14:paraId="74ADB68E" w14:textId="77777777" w:rsidR="00852AC7" w:rsidRDefault="00852AC7" w:rsidP="008A1680"/>
        </w:tc>
      </w:tr>
      <w:tr w:rsidR="00852AC7" w:rsidRPr="0007021F" w14:paraId="13D5A5D6" w14:textId="77777777" w:rsidTr="00FA5E40">
        <w:trPr>
          <w:trHeight w:val="20"/>
        </w:trPr>
        <w:tc>
          <w:tcPr>
            <w:tcW w:w="3653" w:type="pct"/>
          </w:tcPr>
          <w:p w14:paraId="2F4B4030" w14:textId="77777777" w:rsidR="00852AC7" w:rsidRDefault="00852AC7" w:rsidP="008A1680">
            <w:r w:rsidRPr="000A1933">
              <w:t>a. Disclose the metrics used by the organization to assess climate-related risks and opportunities in line with its strategy and risk management process.</w:t>
            </w:r>
          </w:p>
        </w:tc>
        <w:tc>
          <w:tcPr>
            <w:tcW w:w="1347" w:type="pct"/>
          </w:tcPr>
          <w:p w14:paraId="74EA402F" w14:textId="695AC865" w:rsidR="00852AC7" w:rsidRPr="00AD6755" w:rsidRDefault="00852AC7" w:rsidP="008A1680">
            <w:r w:rsidRPr="00AD6755">
              <w:t>Sustainability in Action: ‘We care for our environment’</w:t>
            </w:r>
          </w:p>
        </w:tc>
      </w:tr>
      <w:tr w:rsidR="00852AC7" w:rsidRPr="0007021F" w14:paraId="3065C684" w14:textId="77777777" w:rsidTr="00FA5E40">
        <w:trPr>
          <w:trHeight w:val="20"/>
        </w:trPr>
        <w:tc>
          <w:tcPr>
            <w:tcW w:w="3653" w:type="pct"/>
          </w:tcPr>
          <w:p w14:paraId="0647BBFE" w14:textId="77777777" w:rsidR="00852AC7" w:rsidRDefault="00852AC7" w:rsidP="008A1680">
            <w:r w:rsidRPr="000A1933">
              <w:t>b. Disclose Scope 1, Scope 2 and, if appropriate, Scope 3 greenhouse gas (GHG) emissions and the related risks.</w:t>
            </w:r>
          </w:p>
        </w:tc>
        <w:tc>
          <w:tcPr>
            <w:tcW w:w="1347" w:type="pct"/>
          </w:tcPr>
          <w:p w14:paraId="6C9FD06C" w14:textId="5FA4AA99" w:rsidR="00852AC7" w:rsidRPr="00AD6755" w:rsidRDefault="00852AC7" w:rsidP="008A1680">
            <w:r w:rsidRPr="00AD6755">
              <w:t>Sustainability in Action: ‘We care for our environment’</w:t>
            </w:r>
          </w:p>
        </w:tc>
      </w:tr>
      <w:tr w:rsidR="00852AC7" w14:paraId="7B9F33CB" w14:textId="77777777" w:rsidTr="00FA5E40">
        <w:trPr>
          <w:trHeight w:val="20"/>
        </w:trPr>
        <w:tc>
          <w:tcPr>
            <w:tcW w:w="3653" w:type="pct"/>
          </w:tcPr>
          <w:p w14:paraId="4B7D897F" w14:textId="77777777" w:rsidR="00852AC7" w:rsidRDefault="00852AC7" w:rsidP="008A1680">
            <w:pPr>
              <w:spacing w:after="160" w:line="278" w:lineRule="auto"/>
            </w:pPr>
            <w:r w:rsidRPr="000A1933">
              <w:t>c. Describe the targets used by the organization to manage climate-related risks and opportunities and performance against targets.</w:t>
            </w:r>
          </w:p>
        </w:tc>
        <w:tc>
          <w:tcPr>
            <w:tcW w:w="1347" w:type="pct"/>
          </w:tcPr>
          <w:p w14:paraId="2A10BB48" w14:textId="47B6974B" w:rsidR="00852AC7" w:rsidRPr="00AD6755" w:rsidRDefault="00852AC7" w:rsidP="008A1680">
            <w:r w:rsidRPr="00AD6755">
              <w:t>Sustainability in Action: ‘We care for our environment’</w:t>
            </w:r>
          </w:p>
        </w:tc>
      </w:tr>
    </w:tbl>
    <w:p w14:paraId="01685C1F" w14:textId="6B37D683" w:rsidR="00A61B69" w:rsidRPr="00DB42CC" w:rsidRDefault="00A61B69" w:rsidP="00FA3870"/>
    <w:p w14:paraId="6FA29D87" w14:textId="77777777" w:rsidR="00B87CF1" w:rsidRPr="0025305C" w:rsidRDefault="00B87CF1" w:rsidP="00903E45">
      <w:pPr>
        <w:jc w:val="both"/>
        <w:rPr>
          <w:rFonts w:cs="Arial"/>
          <w:lang w:val="it-IT"/>
        </w:rPr>
      </w:pPr>
    </w:p>
    <w:sectPr w:rsidR="00B87CF1" w:rsidRPr="0025305C" w:rsidSect="005C0E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11308" w14:textId="77777777" w:rsidR="00B16F0F" w:rsidRPr="00DB42CC" w:rsidRDefault="00B16F0F" w:rsidP="00A002E5">
      <w:pPr>
        <w:spacing w:after="0" w:line="240" w:lineRule="auto"/>
      </w:pPr>
      <w:r w:rsidRPr="00DB42CC">
        <w:separator/>
      </w:r>
    </w:p>
  </w:endnote>
  <w:endnote w:type="continuationSeparator" w:id="0">
    <w:p w14:paraId="7FFC0395" w14:textId="77777777" w:rsidR="00B16F0F" w:rsidRPr="00DB42CC" w:rsidRDefault="00B16F0F" w:rsidP="00A002E5">
      <w:pPr>
        <w:spacing w:after="0" w:line="240" w:lineRule="auto"/>
      </w:pPr>
      <w:r w:rsidRPr="00DB42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st">
    <w:panose1 w:val="00000000000000000000"/>
    <w:charset w:val="00"/>
    <w:family w:val="auto"/>
    <w:pitch w:val="variable"/>
    <w:sig w:usb0="A00002EF" w:usb1="0000205B" w:usb2="0000001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5637F" w14:textId="77777777" w:rsidR="00B16F0F" w:rsidRPr="00DB42CC" w:rsidRDefault="00B16F0F" w:rsidP="00A002E5">
      <w:pPr>
        <w:spacing w:after="0" w:line="240" w:lineRule="auto"/>
      </w:pPr>
      <w:r w:rsidRPr="00DB42CC">
        <w:separator/>
      </w:r>
    </w:p>
  </w:footnote>
  <w:footnote w:type="continuationSeparator" w:id="0">
    <w:p w14:paraId="1A9439C5" w14:textId="77777777" w:rsidR="00B16F0F" w:rsidRPr="00DB42CC" w:rsidRDefault="00B16F0F" w:rsidP="00A002E5">
      <w:pPr>
        <w:spacing w:after="0" w:line="240" w:lineRule="auto"/>
      </w:pPr>
      <w:r w:rsidRPr="00DB42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C5FC0"/>
    <w:multiLevelType w:val="hybridMultilevel"/>
    <w:tmpl w:val="1ED2E4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A538C"/>
    <w:multiLevelType w:val="hybridMultilevel"/>
    <w:tmpl w:val="1374CB9A"/>
    <w:lvl w:ilvl="0" w:tplc="F1BECFA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8260451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5E6CAD0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3" w:tplc="0062F5C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9676B66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F81865B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1D968D3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D6087D5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0AD62FA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2" w15:restartNumberingAfterBreak="0">
    <w:nsid w:val="15133251"/>
    <w:multiLevelType w:val="hybridMultilevel"/>
    <w:tmpl w:val="2BD86BB6"/>
    <w:lvl w:ilvl="0" w:tplc="123A9002">
      <w:start w:val="2025"/>
      <w:numFmt w:val="decimal"/>
      <w:lvlText w:val="%1"/>
      <w:lvlJc w:val="left"/>
      <w:pPr>
        <w:ind w:left="920" w:hanging="5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BF8"/>
    <w:multiLevelType w:val="hybridMultilevel"/>
    <w:tmpl w:val="BA501D0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42E31"/>
    <w:multiLevelType w:val="hybridMultilevel"/>
    <w:tmpl w:val="59A0C5DC"/>
    <w:lvl w:ilvl="0" w:tplc="DA4420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36A92"/>
    <w:multiLevelType w:val="hybridMultilevel"/>
    <w:tmpl w:val="670C8FE4"/>
    <w:lvl w:ilvl="0" w:tplc="EB606DD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474AE"/>
    <w:multiLevelType w:val="hybridMultilevel"/>
    <w:tmpl w:val="5D24B612"/>
    <w:lvl w:ilvl="0" w:tplc="EB606DD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D25BE"/>
    <w:multiLevelType w:val="hybridMultilevel"/>
    <w:tmpl w:val="AF18D438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E2D2D"/>
    <w:multiLevelType w:val="hybridMultilevel"/>
    <w:tmpl w:val="0A768E88"/>
    <w:lvl w:ilvl="0" w:tplc="08130015">
      <w:start w:val="1"/>
      <w:numFmt w:val="upperLetter"/>
      <w:lvlText w:val="%1."/>
      <w:lvlJc w:val="left"/>
      <w:pPr>
        <w:ind w:left="360" w:hanging="360"/>
      </w:pPr>
      <w:rPr>
        <w:rFonts w:hint="default"/>
        <w:color w:val="0F0248"/>
      </w:rPr>
    </w:lvl>
    <w:lvl w:ilvl="1" w:tplc="08130013">
      <w:start w:val="1"/>
      <w:numFmt w:val="upperRoman"/>
      <w:lvlText w:val="%2."/>
      <w:lvlJc w:val="right"/>
      <w:pPr>
        <w:ind w:left="1440" w:hanging="360"/>
      </w:pPr>
      <w:rPr>
        <w:rFonts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38636E"/>
    <w:multiLevelType w:val="hybridMultilevel"/>
    <w:tmpl w:val="CF78BB4A"/>
    <w:lvl w:ilvl="0" w:tplc="F880F49C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D4502A"/>
    <w:multiLevelType w:val="hybridMultilevel"/>
    <w:tmpl w:val="BA0ABF06"/>
    <w:lvl w:ilvl="0" w:tplc="88385178">
      <w:start w:val="4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2B69ED"/>
    <w:multiLevelType w:val="hybridMultilevel"/>
    <w:tmpl w:val="2C54EB76"/>
    <w:lvl w:ilvl="0" w:tplc="FC46B68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E20E7"/>
    <w:multiLevelType w:val="hybridMultilevel"/>
    <w:tmpl w:val="8AE640D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682942">
    <w:abstractNumId w:val="12"/>
  </w:num>
  <w:num w:numId="2" w16cid:durableId="1946646701">
    <w:abstractNumId w:val="8"/>
  </w:num>
  <w:num w:numId="3" w16cid:durableId="843742479">
    <w:abstractNumId w:val="7"/>
  </w:num>
  <w:num w:numId="4" w16cid:durableId="1936548459">
    <w:abstractNumId w:val="11"/>
  </w:num>
  <w:num w:numId="5" w16cid:durableId="934241035">
    <w:abstractNumId w:val="3"/>
  </w:num>
  <w:num w:numId="6" w16cid:durableId="1524244485">
    <w:abstractNumId w:val="0"/>
  </w:num>
  <w:num w:numId="7" w16cid:durableId="1472598407">
    <w:abstractNumId w:val="2"/>
  </w:num>
  <w:num w:numId="8" w16cid:durableId="943727042">
    <w:abstractNumId w:val="1"/>
  </w:num>
  <w:num w:numId="9" w16cid:durableId="1727994213">
    <w:abstractNumId w:val="6"/>
  </w:num>
  <w:num w:numId="10" w16cid:durableId="1137800844">
    <w:abstractNumId w:val="5"/>
  </w:num>
  <w:num w:numId="11" w16cid:durableId="1869831480">
    <w:abstractNumId w:val="4"/>
  </w:num>
  <w:num w:numId="12" w16cid:durableId="995458294">
    <w:abstractNumId w:val="10"/>
  </w:num>
  <w:num w:numId="13" w16cid:durableId="9069565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1B9"/>
    <w:rsid w:val="00054FEE"/>
    <w:rsid w:val="000841C0"/>
    <w:rsid w:val="00091279"/>
    <w:rsid w:val="000C18BF"/>
    <w:rsid w:val="000F2873"/>
    <w:rsid w:val="001269BA"/>
    <w:rsid w:val="00130857"/>
    <w:rsid w:val="00164F07"/>
    <w:rsid w:val="00195382"/>
    <w:rsid w:val="001A28E4"/>
    <w:rsid w:val="001B2993"/>
    <w:rsid w:val="001D43ED"/>
    <w:rsid w:val="002343FB"/>
    <w:rsid w:val="0025305C"/>
    <w:rsid w:val="0026342B"/>
    <w:rsid w:val="002823DE"/>
    <w:rsid w:val="00294948"/>
    <w:rsid w:val="002A4F70"/>
    <w:rsid w:val="002B5DB4"/>
    <w:rsid w:val="002C10FF"/>
    <w:rsid w:val="002F2021"/>
    <w:rsid w:val="00302EAC"/>
    <w:rsid w:val="003A0925"/>
    <w:rsid w:val="003C1616"/>
    <w:rsid w:val="003C38DC"/>
    <w:rsid w:val="003C46BE"/>
    <w:rsid w:val="003F2658"/>
    <w:rsid w:val="00424DB4"/>
    <w:rsid w:val="00431F6F"/>
    <w:rsid w:val="00455E7C"/>
    <w:rsid w:val="004600D4"/>
    <w:rsid w:val="00473297"/>
    <w:rsid w:val="004A0F4D"/>
    <w:rsid w:val="004F5218"/>
    <w:rsid w:val="00512480"/>
    <w:rsid w:val="00536B89"/>
    <w:rsid w:val="00585C7E"/>
    <w:rsid w:val="005A42C7"/>
    <w:rsid w:val="005C0EB6"/>
    <w:rsid w:val="005D74AD"/>
    <w:rsid w:val="005F50AD"/>
    <w:rsid w:val="006168BD"/>
    <w:rsid w:val="00636091"/>
    <w:rsid w:val="0066284E"/>
    <w:rsid w:val="00673192"/>
    <w:rsid w:val="0069138E"/>
    <w:rsid w:val="00716156"/>
    <w:rsid w:val="007543AD"/>
    <w:rsid w:val="00782BB5"/>
    <w:rsid w:val="007E615C"/>
    <w:rsid w:val="007E7F22"/>
    <w:rsid w:val="007F7727"/>
    <w:rsid w:val="00852AC7"/>
    <w:rsid w:val="0085687E"/>
    <w:rsid w:val="00894B10"/>
    <w:rsid w:val="008B4486"/>
    <w:rsid w:val="008F3B12"/>
    <w:rsid w:val="0090246E"/>
    <w:rsid w:val="00903E45"/>
    <w:rsid w:val="00915B36"/>
    <w:rsid w:val="009311B9"/>
    <w:rsid w:val="0093327F"/>
    <w:rsid w:val="00966BB7"/>
    <w:rsid w:val="00984729"/>
    <w:rsid w:val="009D227F"/>
    <w:rsid w:val="009F1565"/>
    <w:rsid w:val="009F18E0"/>
    <w:rsid w:val="00A002E5"/>
    <w:rsid w:val="00A27B03"/>
    <w:rsid w:val="00A35825"/>
    <w:rsid w:val="00A61B69"/>
    <w:rsid w:val="00A7464E"/>
    <w:rsid w:val="00A976B3"/>
    <w:rsid w:val="00AD6755"/>
    <w:rsid w:val="00AE403B"/>
    <w:rsid w:val="00B16F0F"/>
    <w:rsid w:val="00B21234"/>
    <w:rsid w:val="00B250B4"/>
    <w:rsid w:val="00B72C87"/>
    <w:rsid w:val="00B87CF1"/>
    <w:rsid w:val="00B976F5"/>
    <w:rsid w:val="00BA20F9"/>
    <w:rsid w:val="00BD1E18"/>
    <w:rsid w:val="00C138F1"/>
    <w:rsid w:val="00C22484"/>
    <w:rsid w:val="00C356FF"/>
    <w:rsid w:val="00C445E3"/>
    <w:rsid w:val="00C648E1"/>
    <w:rsid w:val="00C6708F"/>
    <w:rsid w:val="00C90C53"/>
    <w:rsid w:val="00C97E9E"/>
    <w:rsid w:val="00CB3FD7"/>
    <w:rsid w:val="00D71E9E"/>
    <w:rsid w:val="00DA4E6C"/>
    <w:rsid w:val="00DA6818"/>
    <w:rsid w:val="00DB42CC"/>
    <w:rsid w:val="00DC7679"/>
    <w:rsid w:val="00DD5DD9"/>
    <w:rsid w:val="00DE1CFD"/>
    <w:rsid w:val="00DE7455"/>
    <w:rsid w:val="00E35D62"/>
    <w:rsid w:val="00E47913"/>
    <w:rsid w:val="00E50AF9"/>
    <w:rsid w:val="00EC7486"/>
    <w:rsid w:val="00ED2107"/>
    <w:rsid w:val="00ED4B5D"/>
    <w:rsid w:val="00F07D52"/>
    <w:rsid w:val="00F554CE"/>
    <w:rsid w:val="00F72D51"/>
    <w:rsid w:val="00F74F5B"/>
    <w:rsid w:val="00F7737F"/>
    <w:rsid w:val="00F800B8"/>
    <w:rsid w:val="00FA3870"/>
    <w:rsid w:val="00FA5E40"/>
    <w:rsid w:val="00FB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4AAD8"/>
  <w15:chartTrackingRefBased/>
  <w15:docId w15:val="{64A2010E-3FAF-4707-8006-668CE49D3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FD7"/>
    <w:rPr>
      <w:rFonts w:ascii="Arial" w:hAnsi="Arial"/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931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0C33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31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0C33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311B9"/>
    <w:pPr>
      <w:keepNext/>
      <w:keepLines/>
      <w:spacing w:before="160" w:after="80"/>
      <w:outlineLvl w:val="2"/>
    </w:pPr>
    <w:rPr>
      <w:rFonts w:eastAsiaTheme="majorEastAsia" w:cstheme="majorBidi"/>
      <w:color w:val="0F0C33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1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0C33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311B9"/>
    <w:pPr>
      <w:keepNext/>
      <w:keepLines/>
      <w:spacing w:before="80" w:after="40"/>
      <w:outlineLvl w:val="4"/>
    </w:pPr>
    <w:rPr>
      <w:rFonts w:eastAsiaTheme="majorEastAsia" w:cstheme="majorBidi"/>
      <w:color w:val="0F0C33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311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311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11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311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11B9"/>
    <w:rPr>
      <w:rFonts w:asciiTheme="majorHAnsi" w:eastAsiaTheme="majorEastAsia" w:hAnsiTheme="majorHAnsi" w:cstheme="majorBidi"/>
      <w:color w:val="0F0C33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9311B9"/>
    <w:rPr>
      <w:rFonts w:asciiTheme="majorHAnsi" w:eastAsiaTheme="majorEastAsia" w:hAnsiTheme="majorHAnsi" w:cstheme="majorBidi"/>
      <w:color w:val="0F0C33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311B9"/>
    <w:rPr>
      <w:rFonts w:eastAsiaTheme="majorEastAsia" w:cstheme="majorBidi"/>
      <w:color w:val="0F0C33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311B9"/>
    <w:rPr>
      <w:rFonts w:eastAsiaTheme="majorEastAsia" w:cstheme="majorBidi"/>
      <w:i/>
      <w:iCs/>
      <w:color w:val="0F0C33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311B9"/>
    <w:rPr>
      <w:rFonts w:eastAsiaTheme="majorEastAsia" w:cstheme="majorBidi"/>
      <w:color w:val="0F0C33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311B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311B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311B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311B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311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31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11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31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311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311B9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9311B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311B9"/>
    <w:rPr>
      <w:i/>
      <w:iCs/>
      <w:color w:val="0F0C33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11B9"/>
    <w:pPr>
      <w:pBdr>
        <w:top w:val="single" w:sz="4" w:space="10" w:color="0F0C33" w:themeColor="accent1" w:themeShade="BF"/>
        <w:bottom w:val="single" w:sz="4" w:space="10" w:color="0F0C33" w:themeColor="accent1" w:themeShade="BF"/>
      </w:pBdr>
      <w:spacing w:before="360" w:after="360"/>
      <w:ind w:left="864" w:right="864"/>
      <w:jc w:val="center"/>
    </w:pPr>
    <w:rPr>
      <w:i/>
      <w:iCs/>
      <w:color w:val="0F0C33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311B9"/>
    <w:rPr>
      <w:i/>
      <w:iCs/>
      <w:color w:val="0F0C33" w:themeColor="accent1" w:themeShade="BF"/>
    </w:rPr>
  </w:style>
  <w:style w:type="character" w:styleId="Rfrenceintense">
    <w:name w:val="Intense Reference"/>
    <w:basedOn w:val="Policepardfaut"/>
    <w:uiPriority w:val="32"/>
    <w:qFormat/>
    <w:rsid w:val="009311B9"/>
    <w:rPr>
      <w:b/>
      <w:bCs/>
      <w:smallCaps/>
      <w:color w:val="0F0C33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87CF1"/>
    <w:pPr>
      <w:spacing w:after="0" w:line="240" w:lineRule="auto"/>
    </w:pPr>
    <w:rPr>
      <w:kern w:val="0"/>
      <w:sz w:val="22"/>
      <w:szCs w:val="22"/>
      <w:lang w:val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87CF1"/>
    <w:rPr>
      <w:color w:val="EB0058" w:themeColor="hyperlink"/>
      <w:u w:val="single"/>
    </w:rPr>
  </w:style>
  <w:style w:type="paragraph" w:customStyle="1" w:styleId="Default">
    <w:name w:val="Default"/>
    <w:rsid w:val="00B87CF1"/>
    <w:pPr>
      <w:autoSpaceDE w:val="0"/>
      <w:autoSpaceDN w:val="0"/>
      <w:adjustRightInd w:val="0"/>
      <w:spacing w:after="0" w:line="240" w:lineRule="auto"/>
    </w:pPr>
    <w:rPr>
      <w:rFonts w:ascii="News Gothic MT" w:hAnsi="News Gothic MT" w:cs="News Gothic MT"/>
      <w:color w:val="000000"/>
      <w:kern w:val="0"/>
      <w:lang w:val="nl-BE"/>
      <w14:ligatures w14:val="none"/>
    </w:rPr>
  </w:style>
  <w:style w:type="paragraph" w:styleId="NormalWeb">
    <w:name w:val="Normal (Web)"/>
    <w:basedOn w:val="Normal"/>
    <w:uiPriority w:val="99"/>
    <w:unhideWhenUsed/>
    <w:rsid w:val="00B87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nl-BE" w:eastAsia="nl-BE"/>
      <w14:ligatures w14:val="none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B87CF1"/>
  </w:style>
  <w:style w:type="paragraph" w:customStyle="1" w:styleId="Style1">
    <w:name w:val="Style1"/>
    <w:basedOn w:val="Titre1"/>
    <w:link w:val="Style1Car"/>
    <w:qFormat/>
    <w:rsid w:val="00A27B03"/>
    <w:rPr>
      <w:rFonts w:ascii="Arial" w:hAnsi="Arial" w:cs="Arial"/>
      <w:b/>
      <w:color w:val="0F0248"/>
      <w:sz w:val="24"/>
    </w:rPr>
  </w:style>
  <w:style w:type="character" w:customStyle="1" w:styleId="Style1Car">
    <w:name w:val="Style1 Car"/>
    <w:basedOn w:val="Titre1Car"/>
    <w:link w:val="Style1"/>
    <w:rsid w:val="00A27B03"/>
    <w:rPr>
      <w:rFonts w:ascii="Arial" w:eastAsiaTheme="majorEastAsia" w:hAnsi="Arial" w:cs="Arial"/>
      <w:b/>
      <w:color w:val="0F0248"/>
      <w:sz w:val="40"/>
      <w:szCs w:val="40"/>
      <w:lang w:val="en-GB"/>
    </w:rPr>
  </w:style>
  <w:style w:type="paragraph" w:customStyle="1" w:styleId="Style2">
    <w:name w:val="Style2"/>
    <w:basedOn w:val="Titre2"/>
    <w:link w:val="Style2Car"/>
    <w:qFormat/>
    <w:rsid w:val="00A27B03"/>
    <w:pPr>
      <w:jc w:val="both"/>
    </w:pPr>
    <w:rPr>
      <w:rFonts w:ascii="Arial" w:hAnsi="Arial" w:cs="Arial"/>
      <w:color w:val="0F0248"/>
      <w:sz w:val="24"/>
      <w:u w:val="single"/>
    </w:rPr>
  </w:style>
  <w:style w:type="character" w:customStyle="1" w:styleId="Style2Car">
    <w:name w:val="Style2 Car"/>
    <w:basedOn w:val="Titre2Car"/>
    <w:link w:val="Style2"/>
    <w:rsid w:val="00A27B03"/>
    <w:rPr>
      <w:rFonts w:ascii="Arial" w:eastAsiaTheme="majorEastAsia" w:hAnsi="Arial" w:cs="Arial"/>
      <w:color w:val="0F0248"/>
      <w:sz w:val="32"/>
      <w:szCs w:val="32"/>
      <w:u w:val="single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903E4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03E4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03E4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03E4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03E45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002E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002E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002E5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A002E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002E5"/>
    <w:rPr>
      <w:color w:val="EB0058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eme_House of HR_New">
  <a:themeElements>
    <a:clrScheme name="HOHR 2025">
      <a:dk1>
        <a:srgbClr val="000000"/>
      </a:dk1>
      <a:lt1>
        <a:srgbClr val="FFFFFF"/>
      </a:lt1>
      <a:dk2>
        <a:srgbClr val="151145"/>
      </a:dk2>
      <a:lt2>
        <a:srgbClr val="E7E6E6"/>
      </a:lt2>
      <a:accent1>
        <a:srgbClr val="151145"/>
      </a:accent1>
      <a:accent2>
        <a:srgbClr val="862F74"/>
      </a:accent2>
      <a:accent3>
        <a:srgbClr val="EB0059"/>
      </a:accent3>
      <a:accent4>
        <a:srgbClr val="FF6E00"/>
      </a:accent4>
      <a:accent5>
        <a:srgbClr val="EC1C24"/>
      </a:accent5>
      <a:accent6>
        <a:srgbClr val="FFB653"/>
      </a:accent6>
      <a:hlink>
        <a:srgbClr val="EB0058"/>
      </a:hlink>
      <a:folHlink>
        <a:srgbClr val="EB0058"/>
      </a:folHlink>
    </a:clrScheme>
    <a:fontScheme name="HOHR 2025">
      <a:majorFont>
        <a:latin typeface="Jost"/>
        <a:ea typeface="Jost"/>
        <a:cs typeface="Arial"/>
      </a:majorFont>
      <a:minorFont>
        <a:latin typeface="Jost"/>
        <a:ea typeface="Jost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3"/>
        </a:solidFill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lt1"/>
        </a:fontRef>
      </a:style>
    </a:spDef>
    <a:txDef>
      <a:spPr>
        <a:noFill/>
      </a:spPr>
      <a:bodyPr wrap="square" rtlCol="0">
        <a:spAutoFit/>
      </a:bodyPr>
      <a:lstStyle>
        <a:defPPr algn="l">
          <a:defRPr dirty="0" err="1" smtClean="0">
            <a:solidFill>
              <a:schemeClr val="accent1"/>
            </a:solidFill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Theme_House of HR_New" id="{FDE25EBE-9A02-4C44-97C0-FFA5390788F3}" vid="{A87835C6-FED5-4BB3-83DC-A882EEDDC1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9294C-2176-40AF-ABB8-81709474F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457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Amandine Stérin</dc:creator>
  <cp:keywords/>
  <dc:description/>
  <cp:lastModifiedBy>Amandine Stérin</cp:lastModifiedBy>
  <cp:revision>31</cp:revision>
  <dcterms:created xsi:type="dcterms:W3CDTF">2026-02-26T11:06:00Z</dcterms:created>
  <dcterms:modified xsi:type="dcterms:W3CDTF">2026-02-26T16:32:00Z</dcterms:modified>
</cp:coreProperties>
</file>